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0A6DB2">
        <w:rPr>
          <w:rFonts w:asciiTheme="minorHAnsi" w:hAnsiTheme="minorHAnsi" w:cstheme="minorHAnsi"/>
          <w:b/>
          <w:sz w:val="48"/>
          <w:szCs w:val="48"/>
        </w:rPr>
        <w:t>3</w:t>
      </w:r>
      <w:r w:rsidR="000D6D6F">
        <w:rPr>
          <w:rFonts w:asciiTheme="minorHAnsi" w:hAnsiTheme="minorHAnsi" w:cstheme="minorHAnsi"/>
          <w:b/>
          <w:sz w:val="48"/>
          <w:szCs w:val="48"/>
        </w:rPr>
        <w:t>PR00</w:t>
      </w:r>
      <w:r w:rsidR="00A02CA5">
        <w:rPr>
          <w:rFonts w:asciiTheme="minorHAnsi" w:hAnsiTheme="minorHAnsi" w:cstheme="minorHAnsi"/>
          <w:b/>
          <w:sz w:val="48"/>
          <w:szCs w:val="48"/>
        </w:rPr>
        <w:t>8</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0A6DB2">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A02CA5" w:rsidP="00DA690B">
      <w:pPr>
        <w:rPr>
          <w:rFonts w:asciiTheme="minorHAnsi" w:hAnsiTheme="minorHAnsi" w:cstheme="minorHAnsi"/>
          <w:b/>
          <w:sz w:val="72"/>
          <w:szCs w:val="72"/>
        </w:rPr>
      </w:pPr>
      <w:r>
        <w:rPr>
          <w:rFonts w:asciiTheme="minorHAnsi" w:hAnsiTheme="minorHAnsi" w:cstheme="minorHAnsi"/>
          <w:b/>
          <w:sz w:val="72"/>
          <w:szCs w:val="72"/>
        </w:rPr>
        <w:t>Process Fan VSD</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3B4DD3" w:rsidP="00A02CA5">
            <w:pPr>
              <w:rPr>
                <w:rFonts w:asciiTheme="minorHAnsi" w:hAnsiTheme="minorHAnsi" w:cs="Arial"/>
                <w:b w:val="0"/>
                <w:bCs w:val="0"/>
                <w:sz w:val="20"/>
                <w:szCs w:val="20"/>
              </w:rPr>
            </w:pPr>
            <w:r>
              <w:rPr>
                <w:rFonts w:asciiTheme="minorHAnsi" w:hAnsiTheme="minorHAnsi" w:cs="Arial"/>
                <w:i/>
                <w:sz w:val="20"/>
                <w:szCs w:val="20"/>
              </w:rPr>
              <w:t>PR-</w:t>
            </w:r>
            <w:r w:rsidR="00A02CA5">
              <w:rPr>
                <w:rFonts w:asciiTheme="minorHAnsi" w:hAnsiTheme="minorHAnsi" w:cs="Arial"/>
                <w:i/>
                <w:sz w:val="20"/>
                <w:szCs w:val="20"/>
              </w:rPr>
              <w:t>90127</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740AD2" w:rsidP="00740AD2">
            <w:pPr>
              <w:rPr>
                <w:rFonts w:asciiTheme="minorHAnsi" w:hAnsiTheme="minorHAnsi" w:cs="Arial"/>
                <w:sz w:val="20"/>
                <w:szCs w:val="20"/>
              </w:rPr>
            </w:pPr>
            <w:r>
              <w:rPr>
                <w:rFonts w:asciiTheme="minorHAnsi" w:hAnsiTheme="minorHAnsi" w:cs="Arial"/>
                <w:sz w:val="20"/>
                <w:szCs w:val="20"/>
              </w:rPr>
              <w:t>Add a variable frequency drive to</w:t>
            </w:r>
            <w:r w:rsidR="00C9543E">
              <w:rPr>
                <w:rFonts w:asciiTheme="minorHAnsi" w:hAnsiTheme="minorHAnsi" w:cs="Arial"/>
                <w:sz w:val="20"/>
                <w:szCs w:val="20"/>
              </w:rPr>
              <w:t xml:space="preserve"> an existing </w:t>
            </w:r>
            <w:r w:rsidR="00A02CA5">
              <w:rPr>
                <w:rFonts w:asciiTheme="minorHAnsi" w:hAnsiTheme="minorHAnsi" w:cs="Arial"/>
                <w:sz w:val="20"/>
                <w:szCs w:val="20"/>
              </w:rPr>
              <w:t>process fan (75 hp or less)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A02CA5" w:rsidP="009824E9">
            <w:pPr>
              <w:rPr>
                <w:rFonts w:asciiTheme="minorHAnsi" w:hAnsiTheme="minorHAnsi" w:cs="Arial"/>
                <w:sz w:val="20"/>
                <w:szCs w:val="20"/>
              </w:rPr>
            </w:pPr>
            <w:r>
              <w:rPr>
                <w:rFonts w:asciiTheme="minorHAnsi" w:hAnsiTheme="minorHAnsi" w:cs="Arial"/>
                <w:sz w:val="20"/>
                <w:szCs w:val="20"/>
              </w:rPr>
              <w:t>Non-HVAC and non-refrigeration fan used for exhaust, ventilation, pressurization, or other process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11394F">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C9543E" w:rsidP="0011394F">
            <w:pPr>
              <w:rPr>
                <w:rFonts w:asciiTheme="minorHAnsi" w:hAnsiTheme="minorHAnsi" w:cs="Arial"/>
                <w:sz w:val="20"/>
                <w:szCs w:val="20"/>
              </w:rPr>
            </w:pPr>
            <w:r>
              <w:rPr>
                <w:rFonts w:asciiTheme="minorHAnsi" w:hAnsiTheme="minorHAnsi" w:cs="Arial"/>
                <w:sz w:val="20"/>
                <w:szCs w:val="20"/>
              </w:rPr>
              <w:t>Horsepower (hp)</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740AD2" w:rsidP="00AC5309">
            <w:pPr>
              <w:rPr>
                <w:rFonts w:asciiTheme="minorHAnsi" w:hAnsiTheme="minorHAnsi" w:cs="Arial"/>
                <w:sz w:val="20"/>
                <w:szCs w:val="20"/>
              </w:rPr>
            </w:pPr>
            <w:r>
              <w:rPr>
                <w:rFonts w:asciiTheme="minorHAnsi" w:hAnsiTheme="minorHAnsi" w:cs="Arial"/>
                <w:sz w:val="20"/>
                <w:szCs w:val="20"/>
              </w:rPr>
              <w:t>13</w:t>
            </w:r>
            <w:r w:rsidR="00C9543E">
              <w:rPr>
                <w:rFonts w:asciiTheme="minorHAnsi" w:hAnsiTheme="minorHAnsi" w:cs="Arial"/>
                <w:sz w:val="20"/>
                <w:szCs w:val="20"/>
              </w:rPr>
              <w:t xml:space="preserve"> years</w:t>
            </w:r>
            <w:r w:rsidR="003D54F3">
              <w:rPr>
                <w:rFonts w:asciiTheme="minorHAnsi" w:hAnsiTheme="minorHAnsi" w:cs="Arial"/>
                <w:sz w:val="20"/>
                <w:szCs w:val="20"/>
              </w:rPr>
              <w:t xml:space="preserve">, per </w:t>
            </w:r>
            <w:r w:rsidR="003D54F3" w:rsidRPr="00FB2026">
              <w:rPr>
                <w:rFonts w:ascii="Calibri" w:hAnsi="Calibri"/>
                <w:color w:val="000000"/>
                <w:sz w:val="22"/>
                <w:szCs w:val="22"/>
              </w:rPr>
              <w:t>UI and CL&amp;P Program Savings Documentation</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C9543E" w:rsidP="009824E9">
            <w:pPr>
              <w:rPr>
                <w:rFonts w:asciiTheme="minorHAnsi" w:hAnsiTheme="minorHAnsi" w:cs="Arial"/>
                <w:sz w:val="20"/>
                <w:szCs w:val="20"/>
              </w:rPr>
            </w:pPr>
            <w:r>
              <w:rPr>
                <w:rFonts w:asciiTheme="minorHAnsi" w:hAnsiTheme="minorHAnsi" w:cs="Arial"/>
                <w:sz w:val="20"/>
                <w:szCs w:val="20"/>
              </w:rPr>
              <w:t>Retrofit Add-on (REA)</w:t>
            </w:r>
            <w:r w:rsidR="00290ED8" w:rsidRPr="00697868">
              <w:rPr>
                <w:rFonts w:asciiTheme="minorHAnsi" w:hAnsiTheme="minorHAnsi" w:cs="Arial"/>
                <w:sz w:val="20"/>
                <w:szCs w:val="20"/>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3C6B36" w:rsidP="003C6B36">
            <w:pPr>
              <w:rPr>
                <w:rFonts w:asciiTheme="minorHAnsi" w:hAnsiTheme="minorHAnsi" w:cs="Arial"/>
                <w:sz w:val="20"/>
                <w:szCs w:val="20"/>
              </w:rPr>
            </w:pPr>
            <w:r>
              <w:rPr>
                <w:rFonts w:asciiTheme="minorHAnsi" w:hAnsiTheme="minorHAnsi" w:cs="Arial"/>
                <w:sz w:val="20"/>
                <w:szCs w:val="20"/>
              </w:rPr>
              <w:t>0.6</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CF5119" w:rsidP="009824E9">
            <w:pPr>
              <w:rPr>
                <w:rFonts w:asciiTheme="minorHAnsi" w:hAnsiTheme="minorHAnsi" w:cs="Arial"/>
                <w:sz w:val="20"/>
                <w:szCs w:val="20"/>
              </w:rPr>
            </w:pPr>
            <w:r w:rsidRPr="00B94226">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C9543E"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9543E" w:rsidRDefault="00960E44" w:rsidP="00C9543E">
            <w:pPr>
              <w:rPr>
                <w:rFonts w:asciiTheme="minorHAnsi" w:hAnsiTheme="minorHAnsi" w:cstheme="minorHAnsi"/>
                <w:sz w:val="20"/>
                <w:szCs w:val="20"/>
              </w:rPr>
            </w:pPr>
            <w:r>
              <w:rPr>
                <w:rFonts w:asciiTheme="minorHAnsi" w:hAnsiTheme="minorHAnsi" w:cstheme="minorHAnsi"/>
                <w:sz w:val="20"/>
                <w:szCs w:val="20"/>
              </w:rPr>
              <w:t>SCE13PR008</w:t>
            </w:r>
            <w:r w:rsidR="00C9543E">
              <w:rPr>
                <w:rFonts w:asciiTheme="minorHAnsi" w:hAnsiTheme="minorHAnsi" w:cstheme="minorHAnsi"/>
                <w:sz w:val="20"/>
                <w:szCs w:val="20"/>
              </w:rPr>
              <w:t>.0</w:t>
            </w:r>
          </w:p>
        </w:tc>
        <w:tc>
          <w:tcPr>
            <w:tcW w:w="517" w:type="pct"/>
          </w:tcPr>
          <w:p w:rsidR="00C9543E" w:rsidRDefault="00C9543E"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C9543E" w:rsidRDefault="00C9543E" w:rsidP="00C9543E">
            <w:pPr>
              <w:jc w:val="center"/>
              <w:rPr>
                <w:rFonts w:asciiTheme="minorHAnsi" w:hAnsiTheme="minorHAnsi" w:cstheme="minorHAnsi"/>
                <w:sz w:val="20"/>
                <w:szCs w:val="20"/>
              </w:rPr>
            </w:pPr>
            <w:r>
              <w:rPr>
                <w:rFonts w:asciiTheme="minorHAnsi" w:hAnsiTheme="minorHAnsi" w:cstheme="minorHAnsi"/>
                <w:sz w:val="20"/>
                <w:szCs w:val="20"/>
              </w:rPr>
              <w:t>4/30/2012</w:t>
            </w:r>
          </w:p>
        </w:tc>
        <w:tc>
          <w:tcPr>
            <w:tcW w:w="940" w:type="pct"/>
          </w:tcPr>
          <w:p w:rsidR="00C9543E" w:rsidRDefault="00C9543E" w:rsidP="007048AC">
            <w:pPr>
              <w:rPr>
                <w:rFonts w:asciiTheme="minorHAnsi" w:hAnsiTheme="minorHAnsi" w:cstheme="minorHAnsi"/>
                <w:sz w:val="20"/>
                <w:szCs w:val="20"/>
              </w:rPr>
            </w:pPr>
            <w:r>
              <w:rPr>
                <w:rFonts w:asciiTheme="minorHAnsi" w:hAnsiTheme="minorHAnsi" w:cstheme="minorHAnsi"/>
                <w:sz w:val="20"/>
                <w:szCs w:val="20"/>
              </w:rPr>
              <w:t>Mike Casey/AESC</w:t>
            </w:r>
          </w:p>
        </w:tc>
        <w:tc>
          <w:tcPr>
            <w:tcW w:w="2124" w:type="pct"/>
          </w:tcPr>
          <w:p w:rsidR="00C9543E" w:rsidRDefault="00C9543E" w:rsidP="00C9543E">
            <w:pPr>
              <w:rPr>
                <w:rFonts w:asciiTheme="minorHAnsi" w:hAnsiTheme="minorHAnsi" w:cstheme="minorHAnsi"/>
                <w:bCs/>
                <w:sz w:val="20"/>
                <w:szCs w:val="20"/>
              </w:rPr>
            </w:pPr>
            <w:r>
              <w:rPr>
                <w:rFonts w:asciiTheme="minorHAnsi" w:hAnsiTheme="minorHAnsi" w:cstheme="minorHAnsi"/>
                <w:bCs/>
                <w:sz w:val="20"/>
                <w:szCs w:val="20"/>
              </w:rPr>
              <w:t>Original work paper for 2013-14 program cycle</w:t>
            </w:r>
          </w:p>
        </w:tc>
      </w:tr>
      <w:tr w:rsidR="00413CDB"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CE28CF" w:rsidRPr="00697868" w:rsidRDefault="00FF74FD" w:rsidP="00FF74FD">
            <w:pPr>
              <w:rPr>
                <w:rFonts w:asciiTheme="minorHAnsi" w:hAnsiTheme="minorHAnsi" w:cstheme="minorHAnsi"/>
                <w:sz w:val="20"/>
                <w:szCs w:val="20"/>
              </w:rPr>
            </w:pPr>
            <w:r>
              <w:rPr>
                <w:rFonts w:asciiTheme="minorHAnsi" w:hAnsiTheme="minorHAnsi" w:cstheme="minorHAnsi"/>
                <w:sz w:val="20"/>
                <w:szCs w:val="20"/>
              </w:rPr>
              <w:t>SCE13</w:t>
            </w:r>
            <w:r w:rsidR="00960E44">
              <w:rPr>
                <w:rFonts w:asciiTheme="minorHAnsi" w:hAnsiTheme="minorHAnsi" w:cstheme="minorHAnsi"/>
                <w:sz w:val="20"/>
                <w:szCs w:val="20"/>
              </w:rPr>
              <w:t>PR008</w:t>
            </w:r>
            <w:r w:rsidR="00D36798">
              <w:rPr>
                <w:rFonts w:asciiTheme="minorHAnsi" w:hAnsiTheme="minorHAnsi" w:cstheme="minorHAnsi"/>
                <w:sz w:val="20"/>
                <w:szCs w:val="20"/>
              </w:rPr>
              <w:t>.</w:t>
            </w:r>
            <w:r>
              <w:rPr>
                <w:rFonts w:asciiTheme="minorHAnsi" w:hAnsiTheme="minorHAnsi" w:cstheme="minorHAnsi"/>
                <w:sz w:val="20"/>
                <w:szCs w:val="20"/>
              </w:rPr>
              <w:t>1</w:t>
            </w:r>
          </w:p>
        </w:tc>
        <w:tc>
          <w:tcPr>
            <w:tcW w:w="517" w:type="pct"/>
          </w:tcPr>
          <w:p w:rsidR="00CE28CF" w:rsidRPr="00697868" w:rsidRDefault="00FF74FD"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FF74FD" w:rsidP="00FF74FD">
            <w:pPr>
              <w:jc w:val="center"/>
              <w:rPr>
                <w:rFonts w:asciiTheme="minorHAnsi" w:hAnsiTheme="minorHAnsi" w:cstheme="minorHAnsi"/>
                <w:sz w:val="20"/>
                <w:szCs w:val="20"/>
              </w:rPr>
            </w:pPr>
            <w:r>
              <w:rPr>
                <w:rFonts w:asciiTheme="minorHAnsi" w:hAnsiTheme="minorHAnsi" w:cstheme="minorHAnsi"/>
                <w:sz w:val="20"/>
                <w:szCs w:val="20"/>
              </w:rPr>
              <w:t>4/16</w:t>
            </w:r>
            <w:r w:rsidR="00CE28CF" w:rsidRPr="00697868">
              <w:rPr>
                <w:rFonts w:asciiTheme="minorHAnsi" w:hAnsiTheme="minorHAnsi" w:cstheme="minorHAnsi"/>
                <w:sz w:val="20"/>
                <w:szCs w:val="20"/>
              </w:rPr>
              <w:t>/2014</w:t>
            </w:r>
          </w:p>
        </w:tc>
        <w:tc>
          <w:tcPr>
            <w:tcW w:w="940" w:type="pct"/>
          </w:tcPr>
          <w:p w:rsidR="00CE28CF" w:rsidRPr="00697868" w:rsidRDefault="00C9543E" w:rsidP="007048AC">
            <w:pPr>
              <w:rPr>
                <w:rFonts w:asciiTheme="minorHAnsi" w:hAnsiTheme="minorHAnsi" w:cstheme="minorHAnsi"/>
                <w:sz w:val="20"/>
                <w:szCs w:val="20"/>
              </w:rPr>
            </w:pPr>
            <w:r>
              <w:rPr>
                <w:rFonts w:asciiTheme="minorHAnsi" w:hAnsiTheme="minorHAnsi" w:cstheme="minorHAnsi"/>
                <w:sz w:val="20"/>
                <w:szCs w:val="20"/>
              </w:rPr>
              <w:t>Jason Wang</w:t>
            </w:r>
            <w:r w:rsidR="00CE28CF" w:rsidRPr="00697868">
              <w:rPr>
                <w:rFonts w:asciiTheme="minorHAnsi" w:hAnsiTheme="minorHAnsi" w:cstheme="minorHAnsi"/>
                <w:sz w:val="20"/>
                <w:szCs w:val="20"/>
              </w:rPr>
              <w:t>/SCE</w:t>
            </w:r>
          </w:p>
        </w:tc>
        <w:tc>
          <w:tcPr>
            <w:tcW w:w="2124" w:type="pct"/>
          </w:tcPr>
          <w:p w:rsidR="00827D24" w:rsidRDefault="00960E44" w:rsidP="003B4DD3">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Updated with Title 24 (2013) requirements</w:t>
            </w:r>
          </w:p>
          <w:p w:rsidR="00546949" w:rsidRDefault="00546949" w:rsidP="003B4DD3">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Added Agricultural building type</w:t>
            </w:r>
          </w:p>
          <w:p w:rsidR="008615BE" w:rsidRDefault="008615BE" w:rsidP="003B4DD3">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Updated using DEER 2014 operating hours</w:t>
            </w:r>
          </w:p>
          <w:p w:rsidR="00A11AD3" w:rsidRPr="004B01F8" w:rsidRDefault="00A11AD3" w:rsidP="003B4DD3">
            <w:pPr>
              <w:pStyle w:val="ListParagraph"/>
              <w:numPr>
                <w:ilvl w:val="0"/>
                <w:numId w:val="13"/>
              </w:num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7/1/14 – 12/31/14.</w:t>
            </w: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FB70C5" w:rsidRPr="00CE6394" w:rsidRDefault="00497FB8" w:rsidP="00697868">
      <w:pPr>
        <w:pStyle w:val="Reminders"/>
        <w:tabs>
          <w:tab w:val="num" w:pos="360"/>
        </w:tabs>
        <w:rPr>
          <w:rFonts w:ascii="Calibri" w:hAnsi="Calibri"/>
          <w:i w:val="0"/>
          <w:color w:val="auto"/>
          <w:sz w:val="22"/>
          <w:szCs w:val="22"/>
        </w:rPr>
      </w:pPr>
      <w:r>
        <w:rPr>
          <w:rFonts w:ascii="Calibri" w:hAnsi="Calibri"/>
          <w:i w:val="0"/>
          <w:color w:val="auto"/>
          <w:sz w:val="22"/>
          <w:szCs w:val="22"/>
        </w:rPr>
        <w:t>The measure case is</w:t>
      </w:r>
      <w:r w:rsidR="0011394F">
        <w:rPr>
          <w:rFonts w:ascii="Calibri" w:hAnsi="Calibri"/>
          <w:i w:val="0"/>
          <w:color w:val="auto"/>
          <w:sz w:val="22"/>
          <w:szCs w:val="22"/>
        </w:rPr>
        <w:t xml:space="preserve"> a </w:t>
      </w:r>
      <w:r>
        <w:rPr>
          <w:rFonts w:ascii="Calibri" w:hAnsi="Calibri"/>
          <w:i w:val="0"/>
          <w:color w:val="auto"/>
          <w:sz w:val="22"/>
          <w:szCs w:val="22"/>
        </w:rPr>
        <w:t xml:space="preserve">variable </w:t>
      </w:r>
      <w:r w:rsidR="0011394F">
        <w:rPr>
          <w:rFonts w:ascii="Calibri" w:hAnsi="Calibri"/>
          <w:i w:val="0"/>
          <w:color w:val="auto"/>
          <w:sz w:val="22"/>
          <w:szCs w:val="22"/>
        </w:rPr>
        <w:t>speed</w:t>
      </w:r>
      <w:r>
        <w:rPr>
          <w:rFonts w:ascii="Calibri" w:hAnsi="Calibri"/>
          <w:i w:val="0"/>
          <w:color w:val="auto"/>
          <w:sz w:val="22"/>
          <w:szCs w:val="22"/>
        </w:rPr>
        <w:t xml:space="preserve"> drive (VSD)</w:t>
      </w:r>
      <w:r w:rsidR="0011394F">
        <w:rPr>
          <w:rFonts w:ascii="Calibri" w:hAnsi="Calibri"/>
          <w:i w:val="0"/>
          <w:color w:val="auto"/>
          <w:sz w:val="22"/>
          <w:szCs w:val="22"/>
        </w:rPr>
        <w:t xml:space="preserve"> on</w:t>
      </w:r>
      <w:r w:rsidR="00FB70C5" w:rsidRPr="00CE6394">
        <w:rPr>
          <w:rFonts w:ascii="Calibri" w:hAnsi="Calibri"/>
          <w:i w:val="0"/>
          <w:color w:val="auto"/>
          <w:sz w:val="22"/>
          <w:szCs w:val="22"/>
        </w:rPr>
        <w:t xml:space="preserve"> an existing </w:t>
      </w:r>
      <w:r w:rsidR="00D276D5">
        <w:rPr>
          <w:rFonts w:ascii="Calibri" w:hAnsi="Calibri"/>
          <w:i w:val="0"/>
          <w:color w:val="auto"/>
          <w:sz w:val="22"/>
          <w:szCs w:val="22"/>
        </w:rPr>
        <w:t>process fan</w:t>
      </w:r>
      <w:r w:rsidR="00FB70C5" w:rsidRPr="00CE6394">
        <w:rPr>
          <w:rFonts w:ascii="Calibri" w:hAnsi="Calibri"/>
          <w:i w:val="0"/>
          <w:color w:val="auto"/>
          <w:sz w:val="22"/>
          <w:szCs w:val="22"/>
        </w:rPr>
        <w:t>.</w:t>
      </w:r>
    </w:p>
    <w:p w:rsidR="00FB70C5" w:rsidRPr="00CE6394" w:rsidRDefault="00FB70C5" w:rsidP="00FB70C5">
      <w:pPr>
        <w:pStyle w:val="Reminder"/>
        <w:rPr>
          <w:rFonts w:ascii="Calibri" w:hAnsi="Calibri"/>
          <w:i w:val="0"/>
          <w:color w:val="auto"/>
          <w:sz w:val="22"/>
          <w:szCs w:val="22"/>
        </w:rPr>
      </w:pPr>
      <w:r w:rsidRPr="00CE6394">
        <w:rPr>
          <w:rFonts w:ascii="Calibri" w:hAnsi="Calibri"/>
          <w:i w:val="0"/>
          <w:color w:val="auto"/>
          <w:sz w:val="22"/>
          <w:szCs w:val="22"/>
        </w:rPr>
        <w:t>The base case is a</w:t>
      </w:r>
      <w:r w:rsidR="0011394F">
        <w:rPr>
          <w:rFonts w:ascii="Calibri" w:hAnsi="Calibri"/>
          <w:i w:val="0"/>
          <w:color w:val="auto"/>
          <w:sz w:val="22"/>
          <w:szCs w:val="22"/>
        </w:rPr>
        <w:t>n existing</w:t>
      </w:r>
      <w:r w:rsidR="00D276D5">
        <w:rPr>
          <w:rFonts w:ascii="Calibri" w:hAnsi="Calibri"/>
          <w:i w:val="0"/>
          <w:color w:val="auto"/>
          <w:sz w:val="22"/>
          <w:szCs w:val="22"/>
        </w:rPr>
        <w:t xml:space="preserve"> process fan</w:t>
      </w:r>
      <w:r w:rsidRPr="00CE6394">
        <w:rPr>
          <w:rFonts w:ascii="Calibri" w:hAnsi="Calibri"/>
          <w:i w:val="0"/>
          <w:color w:val="auto"/>
          <w:sz w:val="22"/>
          <w:szCs w:val="22"/>
        </w:rPr>
        <w:t xml:space="preserve"> with rated</w:t>
      </w:r>
      <w:r w:rsidR="003473FB">
        <w:rPr>
          <w:rFonts w:ascii="Calibri" w:hAnsi="Calibri"/>
          <w:i w:val="0"/>
          <w:color w:val="auto"/>
          <w:sz w:val="22"/>
          <w:szCs w:val="22"/>
        </w:rPr>
        <w:t xml:space="preserve"> motor</w:t>
      </w:r>
      <w:r w:rsidRPr="00CE6394">
        <w:rPr>
          <w:rFonts w:ascii="Calibri" w:hAnsi="Calibri"/>
          <w:i w:val="0"/>
          <w:color w:val="auto"/>
          <w:sz w:val="22"/>
          <w:szCs w:val="22"/>
        </w:rPr>
        <w:t xml:space="preserve"> capacity </w:t>
      </w:r>
      <w:r w:rsidR="000A2A20">
        <w:rPr>
          <w:rFonts w:ascii="Calibri" w:hAnsi="Calibri"/>
          <w:i w:val="0"/>
          <w:color w:val="auto"/>
          <w:sz w:val="22"/>
          <w:szCs w:val="22"/>
        </w:rPr>
        <w:t>≤</w:t>
      </w:r>
      <w:r w:rsidR="00D276D5">
        <w:rPr>
          <w:rFonts w:ascii="Calibri" w:hAnsi="Calibri"/>
          <w:i w:val="0"/>
          <w:color w:val="auto"/>
          <w:sz w:val="22"/>
          <w:szCs w:val="22"/>
        </w:rPr>
        <w:t xml:space="preserve"> 75</w:t>
      </w:r>
      <w:r w:rsidRPr="00CE6394">
        <w:rPr>
          <w:rFonts w:ascii="Calibri" w:hAnsi="Calibri"/>
          <w:i w:val="0"/>
          <w:color w:val="auto"/>
          <w:sz w:val="22"/>
          <w:szCs w:val="22"/>
        </w:rPr>
        <w:t xml:space="preserve"> </w:t>
      </w:r>
      <w:r w:rsidR="005D53E7">
        <w:rPr>
          <w:rFonts w:ascii="Calibri" w:hAnsi="Calibri"/>
          <w:i w:val="0"/>
          <w:color w:val="auto"/>
          <w:sz w:val="22"/>
          <w:szCs w:val="22"/>
        </w:rPr>
        <w:t>hp</w:t>
      </w:r>
      <w:r w:rsidR="00D276D5">
        <w:rPr>
          <w:rFonts w:ascii="Calibri" w:hAnsi="Calibri"/>
          <w:i w:val="0"/>
          <w:color w:val="auto"/>
          <w:sz w:val="22"/>
          <w:szCs w:val="22"/>
        </w:rPr>
        <w:t>.</w:t>
      </w:r>
      <w:r w:rsidR="00C334E5">
        <w:rPr>
          <w:rFonts w:ascii="Calibri" w:hAnsi="Calibri"/>
          <w:i w:val="0"/>
          <w:color w:val="auto"/>
          <w:sz w:val="22"/>
          <w:szCs w:val="22"/>
        </w:rPr>
        <w:t xml:space="preserve"> The base case fan will either operate continuously or have on/off controls.</w:t>
      </w:r>
    </w:p>
    <w:p w:rsidR="00697868" w:rsidRPr="005419BC" w:rsidRDefault="00697868" w:rsidP="00697868">
      <w:pPr>
        <w:pStyle w:val="Reminder"/>
        <w:rPr>
          <w:rFonts w:asciiTheme="minorHAnsi" w:hAnsiTheme="minorHAnsi" w:cstheme="minorHAnsi"/>
          <w:i w:val="0"/>
          <w:sz w:val="22"/>
          <w:szCs w:val="22"/>
        </w:rPr>
      </w:pPr>
    </w:p>
    <w:p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F6DDC">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490"/>
        <w:gridCol w:w="5629"/>
      </w:tblGrid>
      <w:tr w:rsidR="00AC5309" w:rsidRPr="00697868" w:rsidTr="00FB70C5">
        <w:trPr>
          <w:cnfStyle w:val="100000000000" w:firstRow="1" w:lastRow="0" w:firstColumn="0" w:lastColumn="0" w:oddVBand="0" w:evenVBand="0" w:oddHBand="0" w:evenHBand="0" w:firstRowFirstColumn="0" w:firstRowLastColumn="0" w:lastRowFirstColumn="0" w:lastRowLastColumn="0"/>
          <w:jc w:val="center"/>
        </w:trPr>
        <w:tc>
          <w:tcPr>
            <w:tcW w:w="1490"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5629"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FB70C5" w:rsidRPr="00697868" w:rsidTr="00FB70C5">
        <w:trPr>
          <w:cnfStyle w:val="000000100000" w:firstRow="0" w:lastRow="0" w:firstColumn="0" w:lastColumn="0" w:oddVBand="0" w:evenVBand="0" w:oddHBand="1" w:evenHBand="0" w:firstRowFirstColumn="0" w:firstRowLastColumn="0" w:lastRowFirstColumn="0" w:lastRowLastColumn="0"/>
          <w:trHeight w:val="243"/>
          <w:jc w:val="center"/>
        </w:trPr>
        <w:tc>
          <w:tcPr>
            <w:tcW w:w="1490" w:type="dxa"/>
          </w:tcPr>
          <w:p w:rsidR="00FB70C5" w:rsidRPr="00697868" w:rsidRDefault="00FB70C5" w:rsidP="00A02CA5">
            <w:pPr>
              <w:rPr>
                <w:rFonts w:asciiTheme="minorHAnsi" w:hAnsiTheme="minorHAnsi" w:cstheme="minorHAnsi"/>
                <w:sz w:val="20"/>
                <w:szCs w:val="20"/>
              </w:rPr>
            </w:pPr>
            <w:r>
              <w:rPr>
                <w:rFonts w:asciiTheme="minorHAnsi" w:hAnsiTheme="minorHAnsi" w:cstheme="minorHAnsi"/>
                <w:sz w:val="20"/>
                <w:szCs w:val="20"/>
              </w:rPr>
              <w:t>P</w:t>
            </w:r>
            <w:r w:rsidR="00582374">
              <w:rPr>
                <w:rFonts w:asciiTheme="minorHAnsi" w:hAnsiTheme="minorHAnsi" w:cstheme="minorHAnsi"/>
                <w:sz w:val="20"/>
                <w:szCs w:val="20"/>
              </w:rPr>
              <w:t>R-</w:t>
            </w:r>
            <w:r w:rsidR="00A02CA5">
              <w:rPr>
                <w:rFonts w:asciiTheme="minorHAnsi" w:hAnsiTheme="minorHAnsi" w:cstheme="minorHAnsi"/>
                <w:sz w:val="20"/>
                <w:szCs w:val="20"/>
              </w:rPr>
              <w:t>90127</w:t>
            </w:r>
          </w:p>
        </w:tc>
        <w:tc>
          <w:tcPr>
            <w:tcW w:w="5629" w:type="dxa"/>
          </w:tcPr>
          <w:p w:rsidR="00FB70C5" w:rsidRPr="00FB70C5" w:rsidRDefault="00A02CA5" w:rsidP="005D53E7">
            <w:pPr>
              <w:rPr>
                <w:rFonts w:asciiTheme="minorHAnsi" w:hAnsiTheme="minorHAnsi" w:cstheme="minorHAnsi"/>
                <w:sz w:val="20"/>
                <w:szCs w:val="20"/>
              </w:rPr>
            </w:pPr>
            <w:r>
              <w:rPr>
                <w:rFonts w:asciiTheme="minorHAnsi" w:hAnsiTheme="minorHAnsi" w:cstheme="minorHAnsi"/>
                <w:sz w:val="20"/>
                <w:szCs w:val="20"/>
              </w:rPr>
              <w:t>≤ 75 HP Variable Speed Drive on Process Fan Control</w:t>
            </w:r>
          </w:p>
        </w:tc>
      </w:tr>
    </w:tbl>
    <w:p w:rsidR="00697868" w:rsidRPr="00CE6394" w:rsidRDefault="00697868" w:rsidP="00697868">
      <w:pPr>
        <w:pStyle w:val="Reminders"/>
        <w:rPr>
          <w:rFonts w:ascii="Calibri" w:hAnsi="Calibri"/>
          <w:i w:val="0"/>
          <w:color w:val="auto"/>
          <w:sz w:val="22"/>
          <w:szCs w:val="22"/>
        </w:rPr>
      </w:pPr>
    </w:p>
    <w:p w:rsidR="00CE6394" w:rsidRPr="00CE6394" w:rsidRDefault="00CE6394" w:rsidP="00CE6394">
      <w:pPr>
        <w:rPr>
          <w:rFonts w:ascii="Calibri" w:hAnsi="Calibri"/>
          <w:sz w:val="22"/>
          <w:szCs w:val="22"/>
        </w:rPr>
      </w:pPr>
      <w:r w:rsidRPr="00CE6394">
        <w:rPr>
          <w:rFonts w:ascii="Calibri" w:hAnsi="Calibri"/>
          <w:sz w:val="22"/>
          <w:szCs w:val="22"/>
        </w:rPr>
        <w:t xml:space="preserve">The existing </w:t>
      </w:r>
      <w:r w:rsidR="00D276D5">
        <w:rPr>
          <w:rFonts w:ascii="Calibri" w:hAnsi="Calibri"/>
          <w:sz w:val="22"/>
          <w:szCs w:val="22"/>
        </w:rPr>
        <w:t>fan</w:t>
      </w:r>
      <w:r w:rsidRPr="00CE6394">
        <w:rPr>
          <w:rFonts w:ascii="Calibri" w:hAnsi="Calibri"/>
          <w:sz w:val="22"/>
          <w:szCs w:val="22"/>
        </w:rPr>
        <w:t xml:space="preserve"> </w:t>
      </w:r>
      <w:r w:rsidR="005419BC">
        <w:rPr>
          <w:rFonts w:ascii="Calibri" w:hAnsi="Calibri"/>
          <w:sz w:val="22"/>
          <w:szCs w:val="22"/>
        </w:rPr>
        <w:t>shall</w:t>
      </w:r>
      <w:r w:rsidRPr="00CE6394">
        <w:rPr>
          <w:rFonts w:ascii="Calibri" w:hAnsi="Calibri"/>
          <w:sz w:val="22"/>
          <w:szCs w:val="22"/>
        </w:rPr>
        <w:t xml:space="preserve"> meet the following requirements:</w:t>
      </w:r>
    </w:p>
    <w:p w:rsidR="005419BC" w:rsidRDefault="005419BC" w:rsidP="00CE6394">
      <w:pPr>
        <w:pStyle w:val="ListParagraph"/>
        <w:numPr>
          <w:ilvl w:val="0"/>
          <w:numId w:val="9"/>
        </w:numPr>
        <w:rPr>
          <w:szCs w:val="22"/>
        </w:rPr>
      </w:pPr>
      <w:r>
        <w:rPr>
          <w:szCs w:val="22"/>
        </w:rPr>
        <w:t>M</w:t>
      </w:r>
      <w:r w:rsidR="00CE6394" w:rsidRPr="00CE6394">
        <w:rPr>
          <w:szCs w:val="22"/>
        </w:rPr>
        <w:t xml:space="preserve">ust </w:t>
      </w:r>
      <w:r w:rsidR="007249D0">
        <w:rPr>
          <w:szCs w:val="22"/>
        </w:rPr>
        <w:t>not be a</w:t>
      </w:r>
      <w:r w:rsidR="00D276D5">
        <w:rPr>
          <w:szCs w:val="22"/>
        </w:rPr>
        <w:t xml:space="preserve"> HVAC or refrigeration fan.</w:t>
      </w:r>
    </w:p>
    <w:p w:rsidR="00D276D5" w:rsidRDefault="00D276D5" w:rsidP="00CE6394">
      <w:pPr>
        <w:pStyle w:val="ListParagraph"/>
        <w:numPr>
          <w:ilvl w:val="0"/>
          <w:numId w:val="9"/>
        </w:numPr>
        <w:rPr>
          <w:szCs w:val="22"/>
        </w:rPr>
      </w:pPr>
      <w:r>
        <w:rPr>
          <w:szCs w:val="22"/>
        </w:rPr>
        <w:t>May be used for exhaust, ventilation, pressurization, or other process applications.</w:t>
      </w:r>
      <w:r w:rsidR="00CE12FE">
        <w:rPr>
          <w:szCs w:val="22"/>
        </w:rPr>
        <w:t xml:space="preserve"> Air compressor systems are not eligible.</w:t>
      </w:r>
    </w:p>
    <w:p w:rsidR="005419BC" w:rsidRDefault="005419BC" w:rsidP="00CE6394">
      <w:pPr>
        <w:pStyle w:val="ListParagraph"/>
        <w:numPr>
          <w:ilvl w:val="0"/>
          <w:numId w:val="9"/>
        </w:numPr>
        <w:rPr>
          <w:szCs w:val="22"/>
        </w:rPr>
      </w:pPr>
      <w:r>
        <w:rPr>
          <w:szCs w:val="22"/>
        </w:rPr>
        <w:t>Must have</w:t>
      </w:r>
      <w:r w:rsidR="00CE6394" w:rsidRPr="00CE6394">
        <w:rPr>
          <w:szCs w:val="22"/>
        </w:rPr>
        <w:t xml:space="preserve"> a</w:t>
      </w:r>
      <w:r w:rsidR="003473FB">
        <w:rPr>
          <w:szCs w:val="22"/>
        </w:rPr>
        <w:t xml:space="preserve"> motor</w:t>
      </w:r>
      <w:r w:rsidR="00CE6394" w:rsidRPr="00CE6394">
        <w:rPr>
          <w:szCs w:val="22"/>
        </w:rPr>
        <w:t xml:space="preserve"> horse</w:t>
      </w:r>
      <w:r>
        <w:rPr>
          <w:szCs w:val="22"/>
        </w:rPr>
        <w:t>power rating</w:t>
      </w:r>
      <w:r w:rsidR="003473FB">
        <w:rPr>
          <w:szCs w:val="22"/>
        </w:rPr>
        <w:t xml:space="preserve"> </w:t>
      </w:r>
      <w:r w:rsidR="000A2A20">
        <w:rPr>
          <w:szCs w:val="22"/>
        </w:rPr>
        <w:t>≥</w:t>
      </w:r>
      <w:r w:rsidR="003473FB">
        <w:rPr>
          <w:szCs w:val="22"/>
        </w:rPr>
        <w:t xml:space="preserve"> 3 hp and</w:t>
      </w:r>
      <w:r>
        <w:rPr>
          <w:szCs w:val="22"/>
        </w:rPr>
        <w:t xml:space="preserve"> </w:t>
      </w:r>
      <w:r w:rsidR="000A2A20">
        <w:rPr>
          <w:szCs w:val="22"/>
        </w:rPr>
        <w:t>≤</w:t>
      </w:r>
      <w:r>
        <w:rPr>
          <w:szCs w:val="22"/>
        </w:rPr>
        <w:t xml:space="preserve"> </w:t>
      </w:r>
      <w:r w:rsidR="00D276D5">
        <w:rPr>
          <w:szCs w:val="22"/>
        </w:rPr>
        <w:t>7</w:t>
      </w:r>
      <w:r>
        <w:rPr>
          <w:szCs w:val="22"/>
        </w:rPr>
        <w:t>5 hp</w:t>
      </w:r>
      <w:r w:rsidR="000A2A20">
        <w:rPr>
          <w:szCs w:val="22"/>
        </w:rPr>
        <w:t xml:space="preserve"> because s</w:t>
      </w:r>
      <w:r w:rsidR="003473FB">
        <w:rPr>
          <w:szCs w:val="22"/>
        </w:rPr>
        <w:t>avings for motors below 3 hp are minimal and do not justify the cost of a VSD retrofit.</w:t>
      </w:r>
    </w:p>
    <w:p w:rsidR="00C334E5" w:rsidRDefault="00C334E5" w:rsidP="00CE6394">
      <w:pPr>
        <w:pStyle w:val="ListParagraph"/>
        <w:numPr>
          <w:ilvl w:val="0"/>
          <w:numId w:val="9"/>
        </w:numPr>
        <w:rPr>
          <w:szCs w:val="22"/>
        </w:rPr>
      </w:pPr>
      <w:r>
        <w:rPr>
          <w:szCs w:val="22"/>
        </w:rPr>
        <w:t>Must operate continuously or be manually operated with</w:t>
      </w:r>
      <w:r w:rsidR="003473FB">
        <w:rPr>
          <w:szCs w:val="22"/>
        </w:rPr>
        <w:t xml:space="preserve"> an</w:t>
      </w:r>
      <w:r>
        <w:rPr>
          <w:szCs w:val="22"/>
        </w:rPr>
        <w:t xml:space="preserve"> </w:t>
      </w:r>
      <w:r w:rsidR="003473FB">
        <w:rPr>
          <w:szCs w:val="22"/>
        </w:rPr>
        <w:t>ON/OFF control switch</w:t>
      </w:r>
      <w:r>
        <w:rPr>
          <w:szCs w:val="22"/>
        </w:rPr>
        <w:t>.</w:t>
      </w:r>
      <w:r w:rsidR="00740AD2">
        <w:rPr>
          <w:szCs w:val="22"/>
        </w:rPr>
        <w:t xml:space="preserve"> Two-speed fans do not qualify.</w:t>
      </w:r>
    </w:p>
    <w:p w:rsidR="00CE6394" w:rsidRPr="00CE6394" w:rsidRDefault="00CE6394" w:rsidP="00CE6394">
      <w:pPr>
        <w:rPr>
          <w:rFonts w:ascii="Calibri" w:hAnsi="Calibri"/>
          <w:sz w:val="22"/>
          <w:szCs w:val="22"/>
        </w:rPr>
      </w:pPr>
    </w:p>
    <w:p w:rsidR="00CE6394" w:rsidRPr="00CE6394" w:rsidRDefault="00CE6394" w:rsidP="00CE6394">
      <w:pPr>
        <w:rPr>
          <w:rFonts w:ascii="Calibri" w:hAnsi="Calibri"/>
          <w:sz w:val="22"/>
          <w:szCs w:val="22"/>
        </w:rPr>
      </w:pPr>
      <w:r w:rsidRPr="00CE6394">
        <w:rPr>
          <w:rFonts w:ascii="Calibri" w:hAnsi="Calibri"/>
          <w:sz w:val="22"/>
          <w:szCs w:val="22"/>
        </w:rPr>
        <w:t>This measure is applicable only to the following building types:</w:t>
      </w:r>
    </w:p>
    <w:p w:rsidR="00CE6394" w:rsidRPr="00CE6394" w:rsidRDefault="00CE6394" w:rsidP="00CE6394">
      <w:pPr>
        <w:numPr>
          <w:ilvl w:val="0"/>
          <w:numId w:val="10"/>
        </w:numPr>
        <w:rPr>
          <w:rFonts w:ascii="Calibri" w:hAnsi="Calibri"/>
          <w:sz w:val="22"/>
          <w:szCs w:val="22"/>
        </w:rPr>
      </w:pPr>
      <w:r w:rsidRPr="00CE6394">
        <w:rPr>
          <w:rFonts w:ascii="Calibri" w:hAnsi="Calibri"/>
          <w:sz w:val="22"/>
          <w:szCs w:val="22"/>
        </w:rPr>
        <w:t>Manufacturing - Bio/Tech</w:t>
      </w:r>
    </w:p>
    <w:p w:rsidR="00CE6394" w:rsidRPr="00CE6394" w:rsidRDefault="00CE6394" w:rsidP="00CE6394">
      <w:pPr>
        <w:numPr>
          <w:ilvl w:val="0"/>
          <w:numId w:val="10"/>
        </w:numPr>
        <w:rPr>
          <w:rFonts w:ascii="Calibri" w:hAnsi="Calibri"/>
          <w:sz w:val="22"/>
          <w:szCs w:val="22"/>
        </w:rPr>
      </w:pPr>
      <w:r w:rsidRPr="00CE6394">
        <w:rPr>
          <w:rFonts w:ascii="Calibri" w:hAnsi="Calibri"/>
          <w:sz w:val="22"/>
          <w:szCs w:val="22"/>
        </w:rPr>
        <w:t>Manufacturing - Light Industrial</w:t>
      </w:r>
    </w:p>
    <w:p w:rsidR="00CE6394" w:rsidRDefault="00CE6394" w:rsidP="00CE6394">
      <w:pPr>
        <w:numPr>
          <w:ilvl w:val="0"/>
          <w:numId w:val="10"/>
        </w:numPr>
        <w:rPr>
          <w:rFonts w:ascii="Calibri" w:hAnsi="Calibri"/>
          <w:sz w:val="22"/>
          <w:szCs w:val="22"/>
        </w:rPr>
      </w:pPr>
      <w:r w:rsidRPr="00CE6394">
        <w:rPr>
          <w:rFonts w:ascii="Calibri" w:hAnsi="Calibri"/>
          <w:sz w:val="22"/>
          <w:szCs w:val="22"/>
        </w:rPr>
        <w:t>Industrial</w:t>
      </w:r>
    </w:p>
    <w:p w:rsidR="008B499C" w:rsidRPr="00CE6394" w:rsidRDefault="008B499C" w:rsidP="00CE6394">
      <w:pPr>
        <w:numPr>
          <w:ilvl w:val="0"/>
          <w:numId w:val="10"/>
        </w:numPr>
        <w:rPr>
          <w:rFonts w:ascii="Calibri" w:hAnsi="Calibri"/>
          <w:sz w:val="22"/>
          <w:szCs w:val="22"/>
        </w:rPr>
      </w:pPr>
      <w:r>
        <w:rPr>
          <w:rFonts w:ascii="Calibri" w:hAnsi="Calibri"/>
          <w:sz w:val="22"/>
          <w:szCs w:val="22"/>
        </w:rPr>
        <w:t>Agricultural</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D276D5" w:rsidRPr="00D276D5" w:rsidRDefault="008E243E" w:rsidP="00FB70C5">
      <w:pPr>
        <w:pStyle w:val="Reminder"/>
        <w:rPr>
          <w:rFonts w:ascii="Calibri" w:hAnsi="Calibri"/>
          <w:i w:val="0"/>
          <w:color w:val="auto"/>
          <w:sz w:val="22"/>
          <w:szCs w:val="22"/>
        </w:rPr>
      </w:pPr>
      <w:r w:rsidRPr="008E243E">
        <w:rPr>
          <w:rFonts w:ascii="Calibri" w:hAnsi="Calibri"/>
          <w:i w:val="0"/>
          <w:color w:val="auto"/>
          <w:sz w:val="22"/>
          <w:szCs w:val="22"/>
          <w:u w:val="single"/>
        </w:rPr>
        <w:t>V</w:t>
      </w:r>
      <w:r w:rsidR="00D276D5">
        <w:rPr>
          <w:rFonts w:ascii="Calibri" w:hAnsi="Calibri"/>
          <w:i w:val="0"/>
          <w:color w:val="auto"/>
          <w:sz w:val="22"/>
          <w:szCs w:val="22"/>
          <w:u w:val="single"/>
        </w:rPr>
        <w:t>S</w:t>
      </w:r>
      <w:r w:rsidRPr="008E243E">
        <w:rPr>
          <w:rFonts w:ascii="Calibri" w:hAnsi="Calibri"/>
          <w:i w:val="0"/>
          <w:color w:val="auto"/>
          <w:sz w:val="22"/>
          <w:szCs w:val="22"/>
          <w:u w:val="single"/>
        </w:rPr>
        <w:t>D control:</w:t>
      </w:r>
      <w:r w:rsidR="00D276D5">
        <w:rPr>
          <w:rFonts w:ascii="Calibri" w:hAnsi="Calibri"/>
          <w:i w:val="0"/>
          <w:color w:val="auto"/>
          <w:sz w:val="22"/>
          <w:szCs w:val="22"/>
        </w:rPr>
        <w:t xml:space="preserve"> The demand on process fans is often variable, so 100% speed fan operation is not always required. A VSD enables the fan to operate at a reduced speed during part load conditions in order to match the demand</w:t>
      </w:r>
      <w:r w:rsidR="00740AD2">
        <w:rPr>
          <w:rFonts w:ascii="Calibri" w:hAnsi="Calibri"/>
          <w:i w:val="0"/>
          <w:color w:val="auto"/>
          <w:sz w:val="22"/>
          <w:szCs w:val="22"/>
        </w:rPr>
        <w:t xml:space="preserve">; typically there are sensors in the </w:t>
      </w:r>
      <w:r w:rsidR="00520408">
        <w:rPr>
          <w:rFonts w:ascii="Calibri" w:hAnsi="Calibri"/>
          <w:i w:val="0"/>
          <w:color w:val="auto"/>
          <w:sz w:val="22"/>
          <w:szCs w:val="22"/>
        </w:rPr>
        <w:t xml:space="preserve">system, </w:t>
      </w:r>
      <w:r w:rsidR="00740AD2">
        <w:rPr>
          <w:rFonts w:ascii="Calibri" w:hAnsi="Calibri"/>
          <w:i w:val="0"/>
          <w:color w:val="auto"/>
          <w:sz w:val="22"/>
          <w:szCs w:val="22"/>
        </w:rPr>
        <w:t>which send control signals to the VSD</w:t>
      </w:r>
      <w:r w:rsidR="00D276D5">
        <w:rPr>
          <w:rFonts w:ascii="Calibri" w:hAnsi="Calibri"/>
          <w:i w:val="0"/>
          <w:color w:val="auto"/>
          <w:sz w:val="22"/>
          <w:szCs w:val="22"/>
        </w:rPr>
        <w:t>. This saves energy due to the cubic nature of th</w:t>
      </w:r>
      <w:r w:rsidR="00740AD2">
        <w:rPr>
          <w:rFonts w:ascii="Calibri" w:hAnsi="Calibri"/>
          <w:i w:val="0"/>
          <w:color w:val="auto"/>
          <w:sz w:val="22"/>
          <w:szCs w:val="22"/>
        </w:rPr>
        <w:t>e fan affinity laws. Fan power is proportial to the fan speed, e.g. operating at half speed theoretically requires only one-eighth of the power draw at full speed.</w:t>
      </w:r>
      <w:r w:rsidR="00EC2278">
        <w:rPr>
          <w:rFonts w:ascii="Calibri" w:hAnsi="Calibri"/>
          <w:i w:val="0"/>
          <w:color w:val="auto"/>
          <w:sz w:val="22"/>
          <w:szCs w:val="22"/>
        </w:rPr>
        <w:t xml:space="preserve"> Depending on the </w:t>
      </w:r>
      <w:r w:rsidR="009E68D7">
        <w:rPr>
          <w:rFonts w:ascii="Calibri" w:hAnsi="Calibri"/>
          <w:i w:val="0"/>
          <w:color w:val="auto"/>
          <w:sz w:val="22"/>
          <w:szCs w:val="22"/>
        </w:rPr>
        <w:t>system</w:t>
      </w:r>
      <w:r w:rsidR="00EC2278">
        <w:rPr>
          <w:rFonts w:ascii="Calibri" w:hAnsi="Calibri"/>
          <w:i w:val="0"/>
          <w:color w:val="auto"/>
          <w:sz w:val="22"/>
          <w:szCs w:val="22"/>
        </w:rPr>
        <w:t>, there may be minimum and maximum speed requirements that apply</w:t>
      </w:r>
      <w:r w:rsidR="009E68D7">
        <w:rPr>
          <w:rFonts w:ascii="Calibri" w:hAnsi="Calibri"/>
          <w:i w:val="0"/>
          <w:color w:val="auto"/>
          <w:sz w:val="22"/>
          <w:szCs w:val="22"/>
        </w:rPr>
        <w:t>, e.g. minimum speed of 30%</w:t>
      </w:r>
      <w:r w:rsidR="00EC2278">
        <w:rPr>
          <w:rFonts w:ascii="Calibri" w:hAnsi="Calibri"/>
          <w:i w:val="0"/>
          <w:color w:val="auto"/>
          <w:sz w:val="22"/>
          <w:szCs w:val="22"/>
        </w:rPr>
        <w:t>.</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Pr="008D56EE" w:rsidRDefault="00CE28CF" w:rsidP="00697868">
      <w:pPr>
        <w:pStyle w:val="Reminders"/>
        <w:tabs>
          <w:tab w:val="num" w:pos="360"/>
        </w:tabs>
        <w:rPr>
          <w:rFonts w:asciiTheme="minorHAnsi" w:hAnsiTheme="minorHAnsi" w:cstheme="minorHAnsi"/>
          <w:i w:val="0"/>
          <w:color w:val="auto"/>
          <w:sz w:val="22"/>
          <w:szCs w:val="22"/>
        </w:rPr>
      </w:pPr>
      <w:r w:rsidRPr="008D56EE">
        <w:rPr>
          <w:rFonts w:asciiTheme="minorHAnsi" w:hAnsiTheme="minorHAnsi" w:cstheme="minorHAnsi"/>
          <w:i w:val="0"/>
          <w:color w:val="auto"/>
          <w:sz w:val="22"/>
          <w:szCs w:val="22"/>
        </w:rPr>
        <w:t>Note: See Appendix A for a comparison of the application types used by</w:t>
      </w:r>
      <w:r w:rsidR="00413CDB" w:rsidRPr="008D56EE">
        <w:rPr>
          <w:rFonts w:asciiTheme="minorHAnsi" w:hAnsiTheme="minorHAnsi" w:cstheme="minorHAnsi"/>
          <w:i w:val="0"/>
          <w:color w:val="auto"/>
          <w:sz w:val="22"/>
          <w:szCs w:val="22"/>
        </w:rPr>
        <w:t xml:space="preserve"> </w:t>
      </w:r>
      <w:r w:rsidRPr="008D56EE">
        <w:rPr>
          <w:rFonts w:asciiTheme="minorHAnsi" w:hAnsiTheme="minorHAnsi" w:cstheme="minorHAnsi"/>
          <w:i w:val="0"/>
          <w:color w:val="auto"/>
          <w:sz w:val="22"/>
          <w:szCs w:val="22"/>
        </w:rPr>
        <w:t xml:space="preserve">and incorporated </w:t>
      </w:r>
      <w:r w:rsidR="00413CDB" w:rsidRPr="008D56EE">
        <w:rPr>
          <w:rFonts w:asciiTheme="minorHAnsi" w:hAnsiTheme="minorHAnsi" w:cstheme="minorHAnsi"/>
          <w:i w:val="0"/>
          <w:color w:val="auto"/>
          <w:sz w:val="22"/>
          <w:szCs w:val="22"/>
        </w:rPr>
        <w:t>into SCE</w:t>
      </w:r>
      <w:r w:rsidRPr="008D56EE">
        <w:rPr>
          <w:rFonts w:asciiTheme="minorHAnsi" w:hAnsiTheme="minorHAnsi" w:cstheme="minorHAnsi"/>
          <w:i w:val="0"/>
          <w:color w:val="auto"/>
          <w:sz w:val="22"/>
          <w:szCs w:val="22"/>
        </w:rPr>
        <w:t xml:space="preserve"> systems versus the application types available in the newest revision of DEER 2014. Appendix A will serve as a translation between the outputs of this workpaper and application types used by READi. </w:t>
      </w:r>
    </w:p>
    <w:p w:rsidR="00CE28CF" w:rsidRPr="00CE6394" w:rsidRDefault="00CE28CF" w:rsidP="00697868">
      <w:pPr>
        <w:pStyle w:val="Reminders"/>
        <w:tabs>
          <w:tab w:val="num" w:pos="360"/>
        </w:tabs>
        <w:rPr>
          <w:rFonts w:ascii="Calibri" w:hAnsi="Calibri"/>
          <w:i w:val="0"/>
          <w:color w:val="auto"/>
          <w:sz w:val="22"/>
          <w:szCs w:val="22"/>
        </w:rPr>
      </w:pPr>
    </w:p>
    <w:p w:rsidR="00CE6394" w:rsidRPr="00CE6394" w:rsidRDefault="00CE6394" w:rsidP="00CE6394">
      <w:pPr>
        <w:rPr>
          <w:rFonts w:ascii="Calibri" w:hAnsi="Calibri"/>
          <w:sz w:val="22"/>
          <w:szCs w:val="22"/>
        </w:rPr>
      </w:pPr>
      <w:bookmarkStart w:id="8" w:name="_Toc214003084"/>
      <w:r w:rsidRPr="00CE6394">
        <w:rPr>
          <w:rFonts w:ascii="Calibri" w:hAnsi="Calibri"/>
          <w:sz w:val="22"/>
          <w:szCs w:val="22"/>
        </w:rPr>
        <w:t>The delivery methods are:</w:t>
      </w:r>
    </w:p>
    <w:p w:rsidR="00CE6394" w:rsidRPr="00CE6394" w:rsidRDefault="00D20C5C" w:rsidP="00CE6394">
      <w:pPr>
        <w:numPr>
          <w:ilvl w:val="0"/>
          <w:numId w:val="11"/>
        </w:numPr>
        <w:rPr>
          <w:rFonts w:ascii="Calibri" w:hAnsi="Calibri"/>
          <w:sz w:val="22"/>
          <w:szCs w:val="22"/>
        </w:rPr>
      </w:pPr>
      <w:r>
        <w:rPr>
          <w:rFonts w:ascii="Calibri" w:hAnsi="Calibri"/>
          <w:sz w:val="22"/>
          <w:szCs w:val="22"/>
        </w:rPr>
        <w:t>Financial Support –</w:t>
      </w:r>
      <w:r w:rsidR="00CE6394" w:rsidRPr="00CE6394">
        <w:rPr>
          <w:rFonts w:ascii="Calibri" w:hAnsi="Calibri"/>
          <w:sz w:val="22"/>
          <w:szCs w:val="22"/>
        </w:rPr>
        <w:t xml:space="preserve"> Down-Stream Incentive – Deemed </w:t>
      </w:r>
    </w:p>
    <w:p w:rsidR="00CE6394" w:rsidRPr="00CE6394" w:rsidRDefault="00CE6394" w:rsidP="00CE6394">
      <w:pPr>
        <w:numPr>
          <w:ilvl w:val="0"/>
          <w:numId w:val="11"/>
        </w:numPr>
        <w:rPr>
          <w:rFonts w:ascii="Calibri" w:hAnsi="Calibri"/>
          <w:sz w:val="22"/>
          <w:szCs w:val="22"/>
        </w:rPr>
      </w:pPr>
      <w:r w:rsidRPr="00CE6394">
        <w:rPr>
          <w:rFonts w:ascii="Calibri" w:hAnsi="Calibri"/>
          <w:sz w:val="22"/>
          <w:szCs w:val="22"/>
        </w:rPr>
        <w:t>Partnership – Down-Stream Incentive – Deemed</w:t>
      </w:r>
    </w:p>
    <w:p w:rsidR="00CE6394" w:rsidRPr="00CE6394" w:rsidRDefault="00CE6394" w:rsidP="00CE6394">
      <w:pPr>
        <w:rPr>
          <w:rFonts w:ascii="Calibri" w:hAnsi="Calibri"/>
          <w:sz w:val="22"/>
          <w:szCs w:val="22"/>
        </w:rPr>
      </w:pPr>
    </w:p>
    <w:p w:rsidR="00CE6394" w:rsidRPr="00CE6394" w:rsidRDefault="00CE6394" w:rsidP="00D20C5C">
      <w:pPr>
        <w:rPr>
          <w:szCs w:val="22"/>
        </w:rPr>
      </w:pPr>
      <w:r w:rsidRPr="00CE6394">
        <w:rPr>
          <w:rFonts w:ascii="Calibri" w:hAnsi="Calibri"/>
          <w:sz w:val="22"/>
          <w:szCs w:val="22"/>
        </w:rPr>
        <w:t xml:space="preserve">The program/install type </w:t>
      </w:r>
      <w:r w:rsidR="00D20C5C">
        <w:rPr>
          <w:rFonts w:ascii="Calibri" w:hAnsi="Calibri"/>
          <w:sz w:val="22"/>
          <w:szCs w:val="22"/>
        </w:rPr>
        <w:t xml:space="preserve">is </w:t>
      </w:r>
      <w:r w:rsidRPr="00D20C5C">
        <w:rPr>
          <w:rFonts w:ascii="Calibri" w:hAnsi="Calibri"/>
          <w:sz w:val="22"/>
          <w:szCs w:val="22"/>
        </w:rPr>
        <w:t>Retrofit Add-On (REA)</w:t>
      </w:r>
      <w:r w:rsidR="00D20C5C" w:rsidRPr="00D20C5C">
        <w:rPr>
          <w:rFonts w:ascii="Calibri" w:hAnsi="Calibri"/>
          <w:sz w:val="22"/>
          <w:szCs w:val="22"/>
        </w:rPr>
        <w:t>.</w:t>
      </w:r>
    </w:p>
    <w:p w:rsidR="00E16609" w:rsidRDefault="00824F1C" w:rsidP="00824F1C">
      <w:pPr>
        <w:pStyle w:val="Heading2"/>
        <w:rPr>
          <w:rFonts w:asciiTheme="minorHAnsi" w:hAnsiTheme="minorHAnsi" w:cstheme="minorHAnsi"/>
        </w:rPr>
      </w:pPr>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8"/>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3F668F" w:rsidRPr="003F668F" w:rsidRDefault="003473FB" w:rsidP="003F668F">
      <w:pPr>
        <w:rPr>
          <w:rFonts w:ascii="Calibri" w:hAnsi="Calibri"/>
          <w:sz w:val="22"/>
          <w:szCs w:val="22"/>
        </w:rPr>
      </w:pPr>
      <w:r>
        <w:rPr>
          <w:rFonts w:ascii="Calibri" w:hAnsi="Calibri"/>
          <w:sz w:val="22"/>
          <w:szCs w:val="22"/>
        </w:rPr>
        <w:t>This specific measure is</w:t>
      </w:r>
      <w:r w:rsidR="003F668F" w:rsidRPr="003F668F">
        <w:rPr>
          <w:rFonts w:ascii="Calibri" w:hAnsi="Calibri"/>
          <w:sz w:val="22"/>
          <w:szCs w:val="22"/>
        </w:rPr>
        <w:t xml:space="preserve"> not included in the Database for Energy Efficient Resources (DEER</w:t>
      </w:r>
      <w:r w:rsidR="003F668F" w:rsidRPr="003F668F">
        <w:rPr>
          <w:rFonts w:ascii="Calibri" w:hAnsi="Calibri"/>
          <w:sz w:val="22"/>
          <w:szCs w:val="22"/>
        </w:rPr>
        <w:fldChar w:fldCharType="begin"/>
      </w:r>
      <w:r w:rsidR="003F668F" w:rsidRPr="003F668F">
        <w:rPr>
          <w:rFonts w:ascii="Calibri" w:hAnsi="Calibri"/>
          <w:sz w:val="22"/>
          <w:szCs w:val="22"/>
        </w:rPr>
        <w:instrText>xe "DEER"</w:instrText>
      </w:r>
      <w:r w:rsidR="003F668F" w:rsidRPr="003F668F">
        <w:rPr>
          <w:rFonts w:ascii="Calibri" w:hAnsi="Calibri"/>
          <w:sz w:val="22"/>
          <w:szCs w:val="22"/>
        </w:rPr>
        <w:fldChar w:fldCharType="end"/>
      </w:r>
      <w:r w:rsidR="003F668F" w:rsidRPr="003F668F">
        <w:rPr>
          <w:rFonts w:ascii="Calibri" w:hAnsi="Calibri"/>
          <w:sz w:val="22"/>
          <w:szCs w:val="22"/>
        </w:rPr>
        <w:t xml:space="preserve">) Version </w:t>
      </w:r>
      <w:r w:rsidR="005D53E7">
        <w:rPr>
          <w:rFonts w:ascii="Calibri" w:hAnsi="Calibri"/>
          <w:sz w:val="22"/>
          <w:szCs w:val="22"/>
        </w:rPr>
        <w:t>2014</w:t>
      </w:r>
      <w:r w:rsidR="003F668F" w:rsidRPr="003F668F">
        <w:rPr>
          <w:rFonts w:ascii="Calibri" w:hAnsi="Calibri"/>
          <w:sz w:val="22"/>
          <w:szCs w:val="22"/>
        </w:rPr>
        <w:t>.</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F6DDC">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3F668F"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3F668F" w:rsidRPr="00697868" w:rsidRDefault="003F668F" w:rsidP="00447CE5">
            <w:pPr>
              <w:rPr>
                <w:rFonts w:asciiTheme="minorHAnsi" w:hAnsiTheme="minorHAnsi" w:cstheme="minorHAnsi"/>
                <w:sz w:val="20"/>
                <w:szCs w:val="20"/>
              </w:rPr>
            </w:pPr>
            <w:r w:rsidRPr="00697868">
              <w:rPr>
                <w:rFonts w:asciiTheme="minorHAnsi" w:hAnsiTheme="minorHAnsi" w:cstheme="minorHAnsi"/>
                <w:sz w:val="20"/>
                <w:szCs w:val="20"/>
              </w:rPr>
              <w:t>Modified DEER Methodology</w:t>
            </w:r>
          </w:p>
        </w:tc>
        <w:tc>
          <w:tcPr>
            <w:tcW w:w="5513" w:type="dxa"/>
            <w:vAlign w:val="center"/>
          </w:tcPr>
          <w:p w:rsidR="003F668F" w:rsidRPr="003F668F" w:rsidRDefault="003F668F" w:rsidP="0011394F">
            <w:pPr>
              <w:jc w:val="center"/>
              <w:rPr>
                <w:rFonts w:asciiTheme="minorHAnsi" w:hAnsiTheme="minorHAnsi" w:cstheme="minorHAnsi"/>
                <w:sz w:val="20"/>
                <w:szCs w:val="20"/>
              </w:rPr>
            </w:pPr>
            <w:r w:rsidRPr="003F668F">
              <w:rPr>
                <w:rFonts w:asciiTheme="minorHAnsi" w:hAnsiTheme="minorHAnsi" w:cstheme="minorHAnsi"/>
                <w:sz w:val="20"/>
                <w:szCs w:val="20"/>
              </w:rPr>
              <w:t>No</w:t>
            </w:r>
          </w:p>
        </w:tc>
      </w:tr>
      <w:tr w:rsidR="003F668F"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3F668F" w:rsidRPr="00697868" w:rsidRDefault="003F668F"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3F668F" w:rsidRPr="003F668F" w:rsidRDefault="003F668F" w:rsidP="0011394F">
            <w:pPr>
              <w:jc w:val="center"/>
              <w:rPr>
                <w:rFonts w:asciiTheme="minorHAnsi" w:hAnsiTheme="minorHAnsi" w:cstheme="minorHAnsi"/>
                <w:sz w:val="20"/>
                <w:szCs w:val="20"/>
              </w:rPr>
            </w:pPr>
            <w:r w:rsidRPr="003F668F">
              <w:rPr>
                <w:rFonts w:asciiTheme="minorHAnsi" w:hAnsiTheme="minorHAnsi" w:cstheme="minorHAnsi"/>
                <w:sz w:val="20"/>
                <w:szCs w:val="20"/>
              </w:rPr>
              <w:t>No</w:t>
            </w:r>
          </w:p>
        </w:tc>
      </w:tr>
      <w:tr w:rsidR="003F668F"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3F668F" w:rsidRPr="00697868" w:rsidRDefault="003F668F"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3F668F" w:rsidRPr="003F668F" w:rsidRDefault="003F668F" w:rsidP="0011394F">
            <w:pPr>
              <w:jc w:val="center"/>
              <w:rPr>
                <w:rFonts w:asciiTheme="minorHAnsi" w:hAnsiTheme="minorHAnsi" w:cstheme="minorHAnsi"/>
                <w:sz w:val="20"/>
                <w:szCs w:val="20"/>
              </w:rPr>
            </w:pPr>
            <w:r w:rsidRPr="003F668F">
              <w:rPr>
                <w:rFonts w:asciiTheme="minorHAnsi" w:hAnsiTheme="minorHAnsi" w:cstheme="minorHAnsi"/>
                <w:sz w:val="20"/>
                <w:szCs w:val="20"/>
              </w:rPr>
              <w:t xml:space="preserve">No </w:t>
            </w:r>
          </w:p>
        </w:tc>
      </w:tr>
      <w:tr w:rsidR="003F668F"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3F668F" w:rsidRPr="00697868" w:rsidRDefault="003F668F"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3F668F" w:rsidRPr="003F668F" w:rsidRDefault="003F668F" w:rsidP="0011394F">
            <w:pPr>
              <w:jc w:val="center"/>
              <w:rPr>
                <w:rFonts w:asciiTheme="minorHAnsi" w:hAnsiTheme="minorHAnsi" w:cstheme="minorHAnsi"/>
                <w:sz w:val="20"/>
                <w:szCs w:val="20"/>
              </w:rPr>
            </w:pPr>
            <w:r w:rsidRPr="003F668F">
              <w:rPr>
                <w:rFonts w:asciiTheme="minorHAnsi" w:hAnsiTheme="minorHAnsi" w:cstheme="minorHAnsi"/>
                <w:sz w:val="20"/>
                <w:szCs w:val="20"/>
              </w:rPr>
              <w:t>DEER does not contain this type of measure.</w:t>
            </w:r>
          </w:p>
        </w:tc>
      </w:tr>
      <w:tr w:rsidR="003F668F"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3F668F" w:rsidRPr="00697868" w:rsidRDefault="003F668F"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3F668F" w:rsidRPr="003F668F" w:rsidRDefault="003F668F" w:rsidP="0011394F">
            <w:pPr>
              <w:jc w:val="center"/>
              <w:rPr>
                <w:rFonts w:asciiTheme="minorHAnsi" w:hAnsiTheme="minorHAnsi" w:cstheme="minorHAnsi"/>
                <w:sz w:val="20"/>
                <w:szCs w:val="20"/>
              </w:rPr>
            </w:pPr>
            <w:r w:rsidRPr="003F668F">
              <w:rPr>
                <w:rFonts w:asciiTheme="minorHAnsi" w:hAnsiTheme="minorHAnsi" w:cstheme="minorHAnsi"/>
                <w:sz w:val="20"/>
                <w:szCs w:val="20"/>
              </w:rPr>
              <w:t>N/A</w:t>
            </w:r>
          </w:p>
        </w:tc>
      </w:tr>
      <w:tr w:rsidR="003F668F"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3F668F" w:rsidRPr="00697868" w:rsidRDefault="003F668F"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3F668F" w:rsidRPr="003F668F" w:rsidRDefault="003F668F" w:rsidP="0011394F">
            <w:pPr>
              <w:jc w:val="center"/>
              <w:rPr>
                <w:rFonts w:asciiTheme="minorHAnsi" w:hAnsiTheme="minorHAnsi" w:cstheme="minorHAnsi"/>
                <w:sz w:val="20"/>
                <w:szCs w:val="20"/>
              </w:rPr>
            </w:pPr>
            <w:r w:rsidRPr="003F668F">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9"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The relevant NTGR for this measure is shown</w:t>
      </w:r>
      <w:r w:rsidR="003473FB">
        <w:rPr>
          <w:rFonts w:asciiTheme="minorHAnsi" w:hAnsiTheme="minorHAnsi" w:cstheme="minorHAnsi"/>
          <w:sz w:val="22"/>
          <w:szCs w:val="22"/>
        </w:rPr>
        <w:t xml:space="preserve"> in</w:t>
      </w:r>
      <w:r w:rsidRPr="00697868">
        <w:rPr>
          <w:rFonts w:asciiTheme="minorHAnsi" w:hAnsiTheme="minorHAnsi" w:cstheme="minorHAnsi"/>
          <w:sz w:val="22"/>
          <w:szCs w:val="22"/>
        </w:rPr>
        <w:t xml:space="preserve">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CF6DDC" w:rsidRPr="00697868">
        <w:rPr>
          <w:rFonts w:asciiTheme="minorHAnsi" w:hAnsiTheme="minorHAnsi" w:cstheme="minorHAnsi"/>
          <w:sz w:val="22"/>
          <w:szCs w:val="22"/>
        </w:rPr>
        <w:t xml:space="preserve">Table </w:t>
      </w:r>
      <w:r w:rsidR="00CF6DDC">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0"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F6DDC">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0"/>
      <w:r w:rsidRPr="00697868">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253"/>
        <w:gridCol w:w="3187"/>
        <w:gridCol w:w="843"/>
        <w:gridCol w:w="1237"/>
        <w:gridCol w:w="1195"/>
        <w:gridCol w:w="675"/>
      </w:tblGrid>
      <w:tr w:rsidR="003F668F" w:rsidRPr="00697868" w:rsidTr="008B499C">
        <w:trPr>
          <w:cnfStyle w:val="100000000000" w:firstRow="1" w:lastRow="0" w:firstColumn="0" w:lastColumn="0" w:oddVBand="0" w:evenVBand="0" w:oddHBand="0" w:evenHBand="0" w:firstRowFirstColumn="0" w:firstRowLastColumn="0" w:lastRowFirstColumn="0" w:lastRowLastColumn="0"/>
          <w:jc w:val="center"/>
        </w:trPr>
        <w:tc>
          <w:tcPr>
            <w:tcW w:w="747"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89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502"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737"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12" w:type="pct"/>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402"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3F668F" w:rsidRPr="00697868" w:rsidTr="008B499C">
        <w:trPr>
          <w:cnfStyle w:val="000000100000" w:firstRow="0" w:lastRow="0" w:firstColumn="0" w:lastColumn="0" w:oddVBand="0" w:evenVBand="0" w:oddHBand="1" w:evenHBand="0" w:firstRowFirstColumn="0" w:firstRowLastColumn="0" w:lastRowFirstColumn="0" w:lastRowLastColumn="0"/>
          <w:jc w:val="center"/>
        </w:trPr>
        <w:tc>
          <w:tcPr>
            <w:tcW w:w="747" w:type="pct"/>
            <w:vAlign w:val="center"/>
          </w:tcPr>
          <w:p w:rsidR="003F668F" w:rsidRPr="003F668F" w:rsidRDefault="003F668F" w:rsidP="003F668F">
            <w:pPr>
              <w:jc w:val="center"/>
              <w:rPr>
                <w:rFonts w:asciiTheme="minorHAnsi" w:hAnsiTheme="minorHAnsi" w:cstheme="minorHAnsi"/>
                <w:sz w:val="20"/>
                <w:szCs w:val="20"/>
              </w:rPr>
            </w:pPr>
            <w:r w:rsidRPr="003F668F">
              <w:rPr>
                <w:rFonts w:asciiTheme="minorHAnsi" w:hAnsiTheme="minorHAnsi" w:cstheme="minorHAnsi"/>
                <w:sz w:val="20"/>
                <w:szCs w:val="20"/>
              </w:rPr>
              <w:t>Com-Default&gt;2yrs</w:t>
            </w:r>
          </w:p>
        </w:tc>
        <w:tc>
          <w:tcPr>
            <w:tcW w:w="1899" w:type="pct"/>
            <w:vAlign w:val="center"/>
          </w:tcPr>
          <w:p w:rsidR="003F668F" w:rsidRPr="003F668F" w:rsidRDefault="003F668F" w:rsidP="003F668F">
            <w:pPr>
              <w:jc w:val="center"/>
              <w:rPr>
                <w:rFonts w:asciiTheme="minorHAnsi" w:hAnsiTheme="minorHAnsi" w:cstheme="minorHAnsi"/>
                <w:sz w:val="20"/>
                <w:szCs w:val="20"/>
              </w:rPr>
            </w:pPr>
            <w:r w:rsidRPr="003F668F">
              <w:rPr>
                <w:rFonts w:asciiTheme="minorHAnsi" w:hAnsiTheme="minorHAnsi" w:cstheme="minorHAnsi"/>
                <w:sz w:val="20"/>
                <w:szCs w:val="20"/>
              </w:rPr>
              <w:t>All other EEMs with no evaluated NTGR; existing EEM in programs with same delivery mechanism for more than 2 years</w:t>
            </w:r>
          </w:p>
        </w:tc>
        <w:tc>
          <w:tcPr>
            <w:tcW w:w="502" w:type="pct"/>
            <w:vAlign w:val="center"/>
          </w:tcPr>
          <w:p w:rsidR="003F668F" w:rsidRPr="00697868" w:rsidRDefault="003F668F" w:rsidP="003F668F">
            <w:pPr>
              <w:jc w:val="center"/>
              <w:rPr>
                <w:rFonts w:asciiTheme="minorHAnsi" w:hAnsiTheme="minorHAnsi" w:cstheme="minorHAnsi"/>
                <w:sz w:val="20"/>
                <w:szCs w:val="20"/>
              </w:rPr>
            </w:pPr>
            <w:r w:rsidRPr="00697868">
              <w:rPr>
                <w:rFonts w:asciiTheme="minorHAnsi" w:hAnsiTheme="minorHAnsi" w:cstheme="minorHAnsi"/>
                <w:sz w:val="20"/>
                <w:szCs w:val="20"/>
              </w:rPr>
              <w:t>Com</w:t>
            </w:r>
          </w:p>
        </w:tc>
        <w:tc>
          <w:tcPr>
            <w:tcW w:w="737" w:type="pct"/>
            <w:vAlign w:val="center"/>
          </w:tcPr>
          <w:p w:rsidR="003F668F" w:rsidRPr="00697868" w:rsidRDefault="003F668F" w:rsidP="003F668F">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12" w:type="pct"/>
            <w:vAlign w:val="center"/>
          </w:tcPr>
          <w:p w:rsidR="003F668F" w:rsidRPr="00697868" w:rsidRDefault="003F668F" w:rsidP="003F668F">
            <w:pPr>
              <w:jc w:val="center"/>
              <w:rPr>
                <w:rFonts w:asciiTheme="minorHAnsi" w:hAnsiTheme="minorHAnsi" w:cstheme="minorHAnsi"/>
                <w:sz w:val="20"/>
                <w:szCs w:val="20"/>
              </w:rPr>
            </w:pPr>
            <w:r>
              <w:rPr>
                <w:rFonts w:asciiTheme="minorHAnsi" w:hAnsiTheme="minorHAnsi" w:cstheme="minorHAnsi"/>
                <w:sz w:val="20"/>
                <w:szCs w:val="20"/>
              </w:rPr>
              <w:t>Any</w:t>
            </w:r>
          </w:p>
        </w:tc>
        <w:tc>
          <w:tcPr>
            <w:tcW w:w="402" w:type="pct"/>
            <w:vAlign w:val="center"/>
          </w:tcPr>
          <w:p w:rsidR="003F668F" w:rsidRPr="00697868" w:rsidRDefault="003F668F" w:rsidP="003F668F">
            <w:pPr>
              <w:jc w:val="center"/>
              <w:rPr>
                <w:rFonts w:asciiTheme="minorHAnsi" w:hAnsiTheme="minorHAnsi" w:cstheme="minorHAnsi"/>
                <w:sz w:val="20"/>
                <w:szCs w:val="20"/>
              </w:rPr>
            </w:pPr>
            <w:r>
              <w:rPr>
                <w:rFonts w:asciiTheme="minorHAnsi" w:hAnsiTheme="minorHAnsi" w:cstheme="minorHAnsi"/>
                <w:sz w:val="20"/>
                <w:szCs w:val="20"/>
              </w:rPr>
              <w:t>0.6</w:t>
            </w:r>
          </w:p>
        </w:tc>
      </w:tr>
      <w:tr w:rsidR="00CF5119" w:rsidRPr="00697868" w:rsidTr="008B499C">
        <w:trPr>
          <w:cnfStyle w:val="000000010000" w:firstRow="0" w:lastRow="0" w:firstColumn="0" w:lastColumn="0" w:oddVBand="0" w:evenVBand="0" w:oddHBand="0" w:evenHBand="1" w:firstRowFirstColumn="0" w:firstRowLastColumn="0" w:lastRowFirstColumn="0" w:lastRowLastColumn="0"/>
          <w:jc w:val="center"/>
        </w:trPr>
        <w:tc>
          <w:tcPr>
            <w:tcW w:w="747" w:type="pct"/>
            <w:vAlign w:val="center"/>
          </w:tcPr>
          <w:p w:rsidR="00CF5119" w:rsidRPr="003F668F" w:rsidRDefault="00CF5119" w:rsidP="003F668F">
            <w:pPr>
              <w:jc w:val="center"/>
              <w:rPr>
                <w:rFonts w:asciiTheme="minorHAnsi" w:hAnsiTheme="minorHAnsi" w:cstheme="minorHAnsi"/>
                <w:sz w:val="20"/>
                <w:szCs w:val="20"/>
              </w:rPr>
            </w:pPr>
            <w:r w:rsidRPr="00CF5119">
              <w:rPr>
                <w:rFonts w:asciiTheme="minorHAnsi" w:hAnsiTheme="minorHAnsi" w:cstheme="minorHAnsi"/>
                <w:sz w:val="20"/>
                <w:szCs w:val="20"/>
              </w:rPr>
              <w:t>Ind-Default&gt;2yrs</w:t>
            </w:r>
          </w:p>
        </w:tc>
        <w:tc>
          <w:tcPr>
            <w:tcW w:w="1899" w:type="pct"/>
            <w:vAlign w:val="center"/>
          </w:tcPr>
          <w:p w:rsidR="00CF5119" w:rsidRPr="003F668F" w:rsidRDefault="00CF5119" w:rsidP="009E68D7">
            <w:pPr>
              <w:jc w:val="center"/>
              <w:rPr>
                <w:rFonts w:asciiTheme="minorHAnsi" w:hAnsiTheme="minorHAnsi" w:cstheme="minorHAnsi"/>
                <w:sz w:val="20"/>
                <w:szCs w:val="20"/>
              </w:rPr>
            </w:pPr>
            <w:r w:rsidRPr="003F668F">
              <w:rPr>
                <w:rFonts w:asciiTheme="minorHAnsi" w:hAnsiTheme="minorHAnsi" w:cstheme="minorHAnsi"/>
                <w:sz w:val="20"/>
                <w:szCs w:val="20"/>
              </w:rPr>
              <w:t>All other EEMs with no evaluated NTGR; existing EEM in programs with same delivery mechanism for more than 2 years</w:t>
            </w:r>
          </w:p>
        </w:tc>
        <w:tc>
          <w:tcPr>
            <w:tcW w:w="502" w:type="pct"/>
            <w:vAlign w:val="center"/>
          </w:tcPr>
          <w:p w:rsidR="00CF5119" w:rsidRPr="00697868" w:rsidRDefault="00CF5119" w:rsidP="009E68D7">
            <w:pPr>
              <w:jc w:val="center"/>
              <w:rPr>
                <w:rFonts w:asciiTheme="minorHAnsi" w:hAnsiTheme="minorHAnsi" w:cstheme="minorHAnsi"/>
                <w:sz w:val="20"/>
                <w:szCs w:val="20"/>
              </w:rPr>
            </w:pPr>
            <w:r>
              <w:rPr>
                <w:rFonts w:asciiTheme="minorHAnsi" w:hAnsiTheme="minorHAnsi" w:cstheme="minorHAnsi"/>
                <w:sz w:val="20"/>
                <w:szCs w:val="20"/>
              </w:rPr>
              <w:t>Ind</w:t>
            </w:r>
          </w:p>
        </w:tc>
        <w:tc>
          <w:tcPr>
            <w:tcW w:w="737" w:type="pct"/>
            <w:vAlign w:val="center"/>
          </w:tcPr>
          <w:p w:rsidR="00CF5119" w:rsidRPr="00697868" w:rsidRDefault="00CF5119" w:rsidP="009E68D7">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12" w:type="pct"/>
            <w:vAlign w:val="center"/>
          </w:tcPr>
          <w:p w:rsidR="00CF5119" w:rsidRPr="00697868" w:rsidRDefault="00CF5119" w:rsidP="009E68D7">
            <w:pPr>
              <w:jc w:val="center"/>
              <w:rPr>
                <w:rFonts w:asciiTheme="minorHAnsi" w:hAnsiTheme="minorHAnsi" w:cstheme="minorHAnsi"/>
                <w:sz w:val="20"/>
                <w:szCs w:val="20"/>
              </w:rPr>
            </w:pPr>
            <w:r>
              <w:rPr>
                <w:rFonts w:asciiTheme="minorHAnsi" w:hAnsiTheme="minorHAnsi" w:cstheme="minorHAnsi"/>
                <w:sz w:val="20"/>
                <w:szCs w:val="20"/>
              </w:rPr>
              <w:t>Any</w:t>
            </w:r>
          </w:p>
        </w:tc>
        <w:tc>
          <w:tcPr>
            <w:tcW w:w="402" w:type="pct"/>
            <w:vAlign w:val="center"/>
          </w:tcPr>
          <w:p w:rsidR="00CF5119" w:rsidRPr="00697868" w:rsidRDefault="00CF5119" w:rsidP="009E68D7">
            <w:pPr>
              <w:jc w:val="center"/>
              <w:rPr>
                <w:rFonts w:asciiTheme="minorHAnsi" w:hAnsiTheme="minorHAnsi" w:cstheme="minorHAnsi"/>
                <w:sz w:val="20"/>
                <w:szCs w:val="20"/>
              </w:rPr>
            </w:pPr>
            <w:r>
              <w:rPr>
                <w:rFonts w:asciiTheme="minorHAnsi" w:hAnsiTheme="minorHAnsi" w:cstheme="minorHAnsi"/>
                <w:sz w:val="20"/>
                <w:szCs w:val="20"/>
              </w:rPr>
              <w:t>0.6</w:t>
            </w:r>
          </w:p>
        </w:tc>
      </w:tr>
      <w:tr w:rsidR="008B499C" w:rsidRPr="00697868" w:rsidTr="008B499C">
        <w:trPr>
          <w:cnfStyle w:val="000000100000" w:firstRow="0" w:lastRow="0" w:firstColumn="0" w:lastColumn="0" w:oddVBand="0" w:evenVBand="0" w:oddHBand="1" w:evenHBand="0" w:firstRowFirstColumn="0" w:firstRowLastColumn="0" w:lastRowFirstColumn="0" w:lastRowLastColumn="0"/>
          <w:jc w:val="center"/>
        </w:trPr>
        <w:tc>
          <w:tcPr>
            <w:tcW w:w="747" w:type="pct"/>
            <w:vAlign w:val="center"/>
          </w:tcPr>
          <w:p w:rsidR="008B499C" w:rsidRPr="00CF5119" w:rsidRDefault="008B499C" w:rsidP="003F668F">
            <w:pPr>
              <w:jc w:val="center"/>
              <w:rPr>
                <w:rFonts w:asciiTheme="minorHAnsi" w:hAnsiTheme="minorHAnsi" w:cstheme="minorHAnsi"/>
                <w:sz w:val="20"/>
                <w:szCs w:val="20"/>
              </w:rPr>
            </w:pPr>
            <w:r w:rsidRPr="008B499C">
              <w:rPr>
                <w:rFonts w:asciiTheme="minorHAnsi" w:hAnsiTheme="minorHAnsi" w:cstheme="minorHAnsi"/>
                <w:sz w:val="20"/>
                <w:szCs w:val="20"/>
              </w:rPr>
              <w:t>Agric-Default&gt;2yrs</w:t>
            </w:r>
          </w:p>
        </w:tc>
        <w:tc>
          <w:tcPr>
            <w:tcW w:w="1899" w:type="pct"/>
            <w:vAlign w:val="center"/>
          </w:tcPr>
          <w:p w:rsidR="008B499C" w:rsidRPr="003F668F" w:rsidRDefault="008B499C" w:rsidP="008B499C">
            <w:pPr>
              <w:jc w:val="center"/>
              <w:rPr>
                <w:rFonts w:asciiTheme="minorHAnsi" w:hAnsiTheme="minorHAnsi" w:cstheme="minorHAnsi"/>
                <w:sz w:val="20"/>
                <w:szCs w:val="20"/>
              </w:rPr>
            </w:pPr>
            <w:r w:rsidRPr="003F668F">
              <w:rPr>
                <w:rFonts w:asciiTheme="minorHAnsi" w:hAnsiTheme="minorHAnsi" w:cstheme="minorHAnsi"/>
                <w:sz w:val="20"/>
                <w:szCs w:val="20"/>
              </w:rPr>
              <w:t>All other EEMs with no evaluated NTGR; existing EEM in programs with same delivery mechanism for more than 2 years</w:t>
            </w:r>
          </w:p>
        </w:tc>
        <w:tc>
          <w:tcPr>
            <w:tcW w:w="502" w:type="pct"/>
            <w:vAlign w:val="center"/>
          </w:tcPr>
          <w:p w:rsidR="008B499C" w:rsidRPr="00697868" w:rsidRDefault="008B499C" w:rsidP="008B499C">
            <w:pPr>
              <w:jc w:val="center"/>
              <w:rPr>
                <w:rFonts w:asciiTheme="minorHAnsi" w:hAnsiTheme="minorHAnsi" w:cstheme="minorHAnsi"/>
                <w:sz w:val="20"/>
                <w:szCs w:val="20"/>
              </w:rPr>
            </w:pPr>
            <w:r>
              <w:rPr>
                <w:rFonts w:asciiTheme="minorHAnsi" w:hAnsiTheme="minorHAnsi" w:cstheme="minorHAnsi"/>
                <w:sz w:val="20"/>
                <w:szCs w:val="20"/>
              </w:rPr>
              <w:t>Ind</w:t>
            </w:r>
          </w:p>
        </w:tc>
        <w:tc>
          <w:tcPr>
            <w:tcW w:w="737" w:type="pct"/>
            <w:vAlign w:val="center"/>
          </w:tcPr>
          <w:p w:rsidR="008B499C" w:rsidRPr="00697868" w:rsidRDefault="008B499C" w:rsidP="008B499C">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12" w:type="pct"/>
            <w:vAlign w:val="center"/>
          </w:tcPr>
          <w:p w:rsidR="008B499C" w:rsidRPr="00697868" w:rsidRDefault="008B499C" w:rsidP="008B499C">
            <w:pPr>
              <w:jc w:val="center"/>
              <w:rPr>
                <w:rFonts w:asciiTheme="minorHAnsi" w:hAnsiTheme="minorHAnsi" w:cstheme="minorHAnsi"/>
                <w:sz w:val="20"/>
                <w:szCs w:val="20"/>
              </w:rPr>
            </w:pPr>
            <w:r>
              <w:rPr>
                <w:rFonts w:asciiTheme="minorHAnsi" w:hAnsiTheme="minorHAnsi" w:cstheme="minorHAnsi"/>
                <w:sz w:val="20"/>
                <w:szCs w:val="20"/>
              </w:rPr>
              <w:t>Any</w:t>
            </w:r>
          </w:p>
        </w:tc>
        <w:tc>
          <w:tcPr>
            <w:tcW w:w="402" w:type="pct"/>
            <w:vAlign w:val="center"/>
          </w:tcPr>
          <w:p w:rsidR="008B499C" w:rsidRPr="00697868" w:rsidRDefault="008B499C" w:rsidP="008B499C">
            <w:pPr>
              <w:jc w:val="center"/>
              <w:rPr>
                <w:rFonts w:asciiTheme="minorHAnsi" w:hAnsiTheme="minorHAnsi" w:cstheme="minorHAnsi"/>
                <w:sz w:val="20"/>
                <w:szCs w:val="20"/>
              </w:rPr>
            </w:pPr>
            <w:r>
              <w:rPr>
                <w:rFonts w:asciiTheme="minorHAnsi" w:hAnsiTheme="minorHAnsi" w:cstheme="minorHAnsi"/>
                <w:sz w:val="20"/>
                <w:szCs w:val="20"/>
              </w:rPr>
              <w:t>0.6</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Pr="000968C6" w:rsidRDefault="000968C6"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6B4A48"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CF6DDC" w:rsidRPr="00CF6DDC">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3233DC">
        <w:rPr>
          <w:rFonts w:asciiTheme="minorHAnsi" w:hAnsiTheme="minorHAnsi" w:cstheme="minorHAnsi"/>
          <w:i w:val="0"/>
          <w:color w:val="auto"/>
          <w:sz w:val="22"/>
          <w:szCs w:val="22"/>
        </w:rPr>
        <w:t xml:space="preserve"> below.</w:t>
      </w:r>
    </w:p>
    <w:p w:rsidR="003233DC" w:rsidRDefault="003233DC"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1" w:name="_Ref377965904"/>
      <w:r w:rsidRPr="00240B74">
        <w:rPr>
          <w:rFonts w:asciiTheme="minorHAnsi" w:hAnsiTheme="minorHAnsi" w:cstheme="minorHAnsi"/>
          <w:sz w:val="22"/>
          <w:szCs w:val="22"/>
        </w:rPr>
        <w:lastRenderedPageBreak/>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CF6DDC">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1"/>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6B4A48" w:rsidRPr="00697868" w:rsidTr="00537055">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537055" w:rsidRDefault="00537055" w:rsidP="00537055">
            <w:pPr>
              <w:jc w:val="center"/>
              <w:rPr>
                <w:rFonts w:asciiTheme="minorHAnsi" w:hAnsiTheme="minorHAnsi" w:cstheme="minorHAnsi"/>
                <w:sz w:val="20"/>
                <w:szCs w:val="20"/>
              </w:rPr>
            </w:pPr>
            <w:r w:rsidRPr="00537055">
              <w:rPr>
                <w:rFonts w:asciiTheme="minorHAnsi" w:hAnsiTheme="minorHAnsi" w:cstheme="minorHAnsi"/>
                <w:sz w:val="20"/>
                <w:szCs w:val="20"/>
              </w:rPr>
              <w:t>Def-GSIA</w:t>
            </w:r>
          </w:p>
        </w:tc>
        <w:tc>
          <w:tcPr>
            <w:tcW w:w="1010" w:type="pct"/>
            <w:vAlign w:val="center"/>
          </w:tcPr>
          <w:p w:rsidR="006B4A48" w:rsidRPr="00537055" w:rsidRDefault="00537055" w:rsidP="00537055">
            <w:pPr>
              <w:jc w:val="center"/>
              <w:rPr>
                <w:rFonts w:asciiTheme="minorHAnsi" w:hAnsiTheme="minorHAnsi" w:cstheme="minorHAnsi"/>
                <w:sz w:val="20"/>
                <w:szCs w:val="20"/>
              </w:rPr>
            </w:pPr>
            <w:r w:rsidRPr="00537055">
              <w:rPr>
                <w:rFonts w:asciiTheme="minorHAnsi" w:hAnsiTheme="minorHAnsi" w:cstheme="minorHAnsi"/>
                <w:sz w:val="20"/>
                <w:szCs w:val="20"/>
              </w:rPr>
              <w:t>Default GSIA values</w:t>
            </w:r>
          </w:p>
        </w:tc>
        <w:tc>
          <w:tcPr>
            <w:tcW w:w="769" w:type="pct"/>
            <w:vAlign w:val="center"/>
          </w:tcPr>
          <w:p w:rsidR="006B4A48" w:rsidRPr="00697868" w:rsidRDefault="00537055" w:rsidP="00537055">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6B4A48" w:rsidRPr="00697868" w:rsidRDefault="006B4A48" w:rsidP="00537055">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62" w:type="pct"/>
            <w:vAlign w:val="center"/>
          </w:tcPr>
          <w:p w:rsidR="006B4A48" w:rsidRPr="00697868" w:rsidRDefault="00537055" w:rsidP="00537055">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6B4A48" w:rsidRPr="00697868" w:rsidRDefault="00537055" w:rsidP="00537055">
            <w:pPr>
              <w:jc w:val="center"/>
              <w:rPr>
                <w:rFonts w:asciiTheme="minorHAnsi" w:hAnsiTheme="minorHAnsi" w:cstheme="minorHAnsi"/>
                <w:sz w:val="20"/>
                <w:szCs w:val="20"/>
              </w:rPr>
            </w:pPr>
            <w:r>
              <w:rPr>
                <w:rFonts w:asciiTheme="minorHAnsi" w:hAnsiTheme="minorHAnsi" w:cstheme="minorHAnsi"/>
                <w:sz w:val="20"/>
                <w:szCs w:val="20"/>
              </w:rPr>
              <w:t>1</w:t>
            </w:r>
          </w:p>
        </w:tc>
      </w:tr>
    </w:tbl>
    <w:p w:rsidR="000968C6" w:rsidRDefault="000968C6" w:rsidP="000968C6">
      <w:pPr>
        <w:pStyle w:val="Reminders"/>
        <w:rPr>
          <w:rFonts w:asciiTheme="minorHAnsi" w:hAnsiTheme="minorHAnsi" w:cstheme="minorHAnsi"/>
          <w:b/>
          <w:i w:val="0"/>
          <w:color w:val="auto"/>
          <w:sz w:val="22"/>
          <w:szCs w:val="22"/>
        </w:rPr>
      </w:pP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r w:rsidR="00413CDB">
        <w:rPr>
          <w:rFonts w:asciiTheme="minorHAnsi" w:hAnsiTheme="minorHAnsi" w:cstheme="minorHAnsi"/>
          <w:i w:val="0"/>
          <w:color w:val="auto"/>
          <w:sz w:val="22"/>
          <w:szCs w:val="22"/>
        </w:rPr>
        <w:t>(In the event that the READi IDs do not support the technology in this workpaper simply indicate “Non-DEER”.)</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CF6DDC">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Measue Case UseCategory</w:t>
            </w:r>
          </w:p>
        </w:tc>
        <w:tc>
          <w:tcPr>
            <w:tcW w:w="6030" w:type="dxa"/>
          </w:tcPr>
          <w:p w:rsidR="00F23A21" w:rsidRPr="00240B74" w:rsidRDefault="0041123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w:t>
            </w:r>
            <w:r w:rsidR="007249D0">
              <w:rPr>
                <w:rFonts w:asciiTheme="minorHAnsi" w:hAnsiTheme="minorHAnsi" w:cstheme="minorHAnsi"/>
                <w:i w:val="0"/>
                <w:color w:val="auto"/>
                <w:sz w:val="20"/>
                <w:szCs w:val="22"/>
              </w:rPr>
              <w:t>-</w:t>
            </w:r>
            <w:r>
              <w:rPr>
                <w:rFonts w:asciiTheme="minorHAnsi" w:hAnsiTheme="minorHAnsi" w:cstheme="minorHAnsi"/>
                <w:i w:val="0"/>
                <w:color w:val="auto"/>
                <w:sz w:val="20"/>
                <w:szCs w:val="22"/>
              </w:rPr>
              <w:t>DEER</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41123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w:t>
            </w:r>
            <w:r w:rsidR="007249D0">
              <w:rPr>
                <w:rFonts w:asciiTheme="minorHAnsi" w:hAnsiTheme="minorHAnsi" w:cstheme="minorHAnsi"/>
                <w:i w:val="0"/>
                <w:color w:val="auto"/>
                <w:sz w:val="20"/>
                <w:szCs w:val="22"/>
              </w:rPr>
              <w:t>-</w:t>
            </w:r>
            <w:r>
              <w:rPr>
                <w:rFonts w:asciiTheme="minorHAnsi" w:hAnsiTheme="minorHAnsi" w:cstheme="minorHAnsi"/>
                <w:i w:val="0"/>
                <w:color w:val="auto"/>
                <w:sz w:val="20"/>
                <w:szCs w:val="22"/>
              </w:rPr>
              <w:t>DEER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240B74" w:rsidRPr="00240B74" w:rsidRDefault="0041123E" w:rsidP="00F23A21">
            <w:pPr>
              <w:pStyle w:val="Reminders"/>
              <w:rPr>
                <w:rFonts w:asciiTheme="minorHAnsi" w:hAnsiTheme="minorHAnsi" w:cstheme="minorHAnsi"/>
                <w:i w:val="0"/>
                <w:color w:val="auto"/>
                <w:sz w:val="20"/>
                <w:szCs w:val="22"/>
              </w:rPr>
            </w:pPr>
            <w:r w:rsidRPr="0041123E">
              <w:rPr>
                <w:rFonts w:asciiTheme="minorHAnsi" w:hAnsiTheme="minorHAnsi" w:cstheme="minorHAnsi"/>
                <w:i w:val="0"/>
                <w:color w:val="auto"/>
                <w:sz w:val="20"/>
                <w:szCs w:val="22"/>
              </w:rPr>
              <w:t>Motor_Spd</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41123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ASD</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240B74" w:rsidRPr="00240B74" w:rsidRDefault="0041123E" w:rsidP="000968C6">
            <w:pPr>
              <w:pStyle w:val="Reminders"/>
              <w:rPr>
                <w:rFonts w:asciiTheme="minorHAnsi" w:hAnsiTheme="minorHAnsi" w:cstheme="minorHAnsi"/>
                <w:i w:val="0"/>
                <w:color w:val="auto"/>
                <w:sz w:val="20"/>
                <w:szCs w:val="22"/>
              </w:rPr>
            </w:pPr>
            <w:r w:rsidRPr="0041123E">
              <w:rPr>
                <w:rFonts w:asciiTheme="minorHAnsi" w:hAnsiTheme="minorHAnsi" w:cstheme="minorHAnsi"/>
                <w:i w:val="0"/>
                <w:color w:val="auto"/>
                <w:sz w:val="20"/>
                <w:szCs w:val="22"/>
              </w:rPr>
              <w:t>Motor_gen</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240B74" w:rsidRPr="00240B74" w:rsidRDefault="0041123E" w:rsidP="000968C6">
            <w:pPr>
              <w:pStyle w:val="Reminders"/>
              <w:rPr>
                <w:rFonts w:asciiTheme="minorHAnsi" w:hAnsiTheme="minorHAnsi" w:cstheme="minorHAnsi"/>
                <w:i w:val="0"/>
                <w:color w:val="auto"/>
                <w:sz w:val="20"/>
                <w:szCs w:val="22"/>
              </w:rPr>
            </w:pPr>
            <w:r w:rsidRPr="0041123E">
              <w:rPr>
                <w:rFonts w:asciiTheme="minorHAnsi" w:hAnsiTheme="minorHAnsi" w:cstheme="minorHAnsi"/>
                <w:i w:val="0"/>
                <w:color w:val="auto"/>
                <w:sz w:val="20"/>
                <w:szCs w:val="22"/>
              </w:rPr>
              <w:t>GenPurpose</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9"/>
    </w:p>
    <w:p w:rsidR="00CE12FE" w:rsidRDefault="004B01F8" w:rsidP="00E16609">
      <w:pPr>
        <w:pStyle w:val="Reminders"/>
        <w:rPr>
          <w:rFonts w:asciiTheme="minorHAnsi" w:hAnsiTheme="minorHAnsi" w:cstheme="minorHAnsi"/>
          <w:i w:val="0"/>
          <w:color w:val="auto"/>
          <w:sz w:val="22"/>
          <w:szCs w:val="22"/>
        </w:rPr>
      </w:pPr>
      <w:r w:rsidRPr="0076181D">
        <w:rPr>
          <w:rFonts w:asciiTheme="minorHAnsi" w:hAnsiTheme="minorHAnsi" w:cstheme="minorHAnsi"/>
          <w:i w:val="0"/>
          <w:color w:val="auto"/>
          <w:sz w:val="22"/>
          <w:szCs w:val="22"/>
        </w:rPr>
        <w:t>Title 24 (2013), Section 120.6</w:t>
      </w:r>
      <w:r w:rsidR="007249D0">
        <w:rPr>
          <w:rFonts w:asciiTheme="minorHAnsi" w:hAnsiTheme="minorHAnsi" w:cstheme="minorHAnsi"/>
          <w:i w:val="0"/>
          <w:color w:val="auto"/>
          <w:sz w:val="22"/>
          <w:szCs w:val="22"/>
        </w:rPr>
        <w:t xml:space="preserve"> [355]</w:t>
      </w:r>
      <w:r w:rsidR="0076181D">
        <w:rPr>
          <w:rFonts w:asciiTheme="minorHAnsi" w:hAnsiTheme="minorHAnsi" w:cstheme="minorHAnsi"/>
          <w:i w:val="0"/>
          <w:color w:val="auto"/>
          <w:sz w:val="22"/>
          <w:szCs w:val="22"/>
        </w:rPr>
        <w:t xml:space="preserve"> provides the following </w:t>
      </w:r>
      <w:r w:rsidR="009E68D7">
        <w:rPr>
          <w:rFonts w:asciiTheme="minorHAnsi" w:hAnsiTheme="minorHAnsi" w:cstheme="minorHAnsi"/>
          <w:i w:val="0"/>
          <w:color w:val="auto"/>
          <w:sz w:val="22"/>
          <w:szCs w:val="22"/>
        </w:rPr>
        <w:t xml:space="preserve">mandatory </w:t>
      </w:r>
      <w:r w:rsidR="0076181D">
        <w:rPr>
          <w:rFonts w:asciiTheme="minorHAnsi" w:hAnsiTheme="minorHAnsi" w:cstheme="minorHAnsi"/>
          <w:i w:val="0"/>
          <w:color w:val="auto"/>
          <w:sz w:val="22"/>
          <w:szCs w:val="22"/>
        </w:rPr>
        <w:t xml:space="preserve">requirements for </w:t>
      </w:r>
      <w:r w:rsidR="00D27BCA">
        <w:rPr>
          <w:rFonts w:asciiTheme="minorHAnsi" w:hAnsiTheme="minorHAnsi" w:cstheme="minorHAnsi"/>
          <w:i w:val="0"/>
          <w:color w:val="auto"/>
          <w:sz w:val="22"/>
          <w:szCs w:val="22"/>
        </w:rPr>
        <w:t>cov</w:t>
      </w:r>
      <w:r w:rsidR="007249D0">
        <w:rPr>
          <w:rFonts w:asciiTheme="minorHAnsi" w:hAnsiTheme="minorHAnsi" w:cstheme="minorHAnsi"/>
          <w:i w:val="0"/>
          <w:color w:val="auto"/>
          <w:sz w:val="22"/>
          <w:szCs w:val="22"/>
        </w:rPr>
        <w:t>e</w:t>
      </w:r>
      <w:r w:rsidR="00D27BCA">
        <w:rPr>
          <w:rFonts w:asciiTheme="minorHAnsi" w:hAnsiTheme="minorHAnsi" w:cstheme="minorHAnsi"/>
          <w:i w:val="0"/>
          <w:color w:val="auto"/>
          <w:sz w:val="22"/>
          <w:szCs w:val="22"/>
        </w:rPr>
        <w:t>red processes</w:t>
      </w:r>
      <w:r w:rsidR="00CE12FE">
        <w:rPr>
          <w:rFonts w:asciiTheme="minorHAnsi" w:hAnsiTheme="minorHAnsi" w:cstheme="minorHAnsi"/>
          <w:i w:val="0"/>
          <w:color w:val="auto"/>
          <w:sz w:val="22"/>
          <w:szCs w:val="22"/>
        </w:rPr>
        <w:t>:</w:t>
      </w:r>
    </w:p>
    <w:p w:rsidR="003D54F3" w:rsidRDefault="003D54F3" w:rsidP="009E68D7">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120.6(a)3 Evaporators:</w:t>
      </w:r>
    </w:p>
    <w:tbl>
      <w:tblPr>
        <w:tblStyle w:val="TableGrid"/>
        <w:tblW w:w="9000" w:type="dxa"/>
        <w:tblInd w:w="828" w:type="dxa"/>
        <w:tblLayout w:type="fixed"/>
        <w:tblLook w:val="04A0" w:firstRow="1" w:lastRow="0" w:firstColumn="1" w:lastColumn="0" w:noHBand="0" w:noVBand="1"/>
      </w:tblPr>
      <w:tblGrid>
        <w:gridCol w:w="9000"/>
      </w:tblGrid>
      <w:tr w:rsidR="003D54F3" w:rsidTr="008B499C">
        <w:tc>
          <w:tcPr>
            <w:tcW w:w="9000" w:type="dxa"/>
          </w:tcPr>
          <w:p w:rsidR="003D54F3" w:rsidRDefault="003D54F3" w:rsidP="008B499C">
            <w:pPr>
              <w:pStyle w:val="Reminders"/>
              <w:jc w:val="right"/>
              <w:rPr>
                <w:rFonts w:asciiTheme="minorHAnsi" w:hAnsiTheme="minorHAnsi" w:cstheme="minorHAnsi"/>
                <w:i w:val="0"/>
                <w:color w:val="auto"/>
                <w:sz w:val="22"/>
                <w:szCs w:val="22"/>
              </w:rPr>
            </w:pPr>
            <w:r>
              <w:rPr>
                <w:noProof/>
              </w:rPr>
              <w:lastRenderedPageBreak/>
              <w:drawing>
                <wp:inline distT="0" distB="0" distL="0" distR="0" wp14:anchorId="07725EFA" wp14:editId="49B24F3F">
                  <wp:extent cx="5672601" cy="2544792"/>
                  <wp:effectExtent l="0" t="0" r="444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674310" cy="2545559"/>
                          </a:xfrm>
                          <a:prstGeom prst="rect">
                            <a:avLst/>
                          </a:prstGeom>
                        </pic:spPr>
                      </pic:pic>
                    </a:graphicData>
                  </a:graphic>
                </wp:inline>
              </w:drawing>
            </w:r>
            <w:r>
              <w:rPr>
                <w:noProof/>
              </w:rPr>
              <w:drawing>
                <wp:inline distT="0" distB="0" distL="0" distR="0" wp14:anchorId="58970717" wp14:editId="34F7EA14">
                  <wp:extent cx="5357003" cy="967809"/>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396460" cy="974937"/>
                          </a:xfrm>
                          <a:prstGeom prst="rect">
                            <a:avLst/>
                          </a:prstGeom>
                        </pic:spPr>
                      </pic:pic>
                    </a:graphicData>
                  </a:graphic>
                </wp:inline>
              </w:drawing>
            </w:r>
          </w:p>
        </w:tc>
      </w:tr>
    </w:tbl>
    <w:p w:rsidR="009E68D7" w:rsidRPr="009E68D7" w:rsidRDefault="009E68D7" w:rsidP="009E68D7">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120.6(c) Enclosed Parking Garag</w:t>
      </w:r>
      <w:r w:rsidR="008D56EE">
        <w:rPr>
          <w:rFonts w:asciiTheme="minorHAnsi" w:hAnsiTheme="minorHAnsi" w:cstheme="minorHAnsi"/>
          <w:i w:val="0"/>
          <w:color w:val="auto"/>
          <w:sz w:val="22"/>
          <w:szCs w:val="22"/>
        </w:rPr>
        <w:t>e</w:t>
      </w:r>
      <w:r w:rsidR="008D56EE">
        <w:rPr>
          <w:noProof/>
        </w:rPr>
        <w:drawing>
          <wp:inline distT="0" distB="0" distL="0" distR="0" wp14:anchorId="05989921" wp14:editId="4A373E0F">
            <wp:extent cx="5676181" cy="1163132"/>
            <wp:effectExtent l="19050" t="19050" r="20320" b="184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76181" cy="1163132"/>
                    </a:xfrm>
                    <a:prstGeom prst="rect">
                      <a:avLst/>
                    </a:prstGeom>
                    <a:ln>
                      <a:solidFill>
                        <a:schemeClr val="tx1"/>
                      </a:solidFill>
                    </a:ln>
                  </pic:spPr>
                </pic:pic>
              </a:graphicData>
            </a:graphic>
          </wp:inline>
        </w:drawing>
      </w:r>
      <w:r>
        <w:rPr>
          <w:rFonts w:asciiTheme="minorHAnsi" w:hAnsiTheme="minorHAnsi" w:cstheme="minorHAnsi"/>
          <w:i w:val="0"/>
          <w:color w:val="auto"/>
          <w:sz w:val="22"/>
          <w:szCs w:val="22"/>
        </w:rPr>
        <w:t>es:</w:t>
      </w:r>
    </w:p>
    <w:p w:rsidR="00CE12FE" w:rsidRDefault="00CE12FE" w:rsidP="00E16609">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120.6(d)</w:t>
      </w:r>
      <w:r w:rsidR="009E68D7">
        <w:rPr>
          <w:rFonts w:asciiTheme="minorHAnsi" w:hAnsiTheme="minorHAnsi" w:cstheme="minorHAnsi"/>
          <w:i w:val="0"/>
          <w:color w:val="auto"/>
          <w:sz w:val="22"/>
          <w:szCs w:val="22"/>
        </w:rPr>
        <w:t>2 Boilers:</w:t>
      </w:r>
    </w:p>
    <w:p w:rsidR="009E68D7" w:rsidRDefault="009E68D7" w:rsidP="009E68D7">
      <w:pPr>
        <w:pStyle w:val="Reminders"/>
        <w:ind w:left="720"/>
        <w:rPr>
          <w:rFonts w:asciiTheme="minorHAnsi" w:hAnsiTheme="minorHAnsi" w:cstheme="minorHAnsi"/>
          <w:i w:val="0"/>
          <w:color w:val="auto"/>
          <w:sz w:val="22"/>
          <w:szCs w:val="22"/>
        </w:rPr>
      </w:pPr>
      <w:r>
        <w:rPr>
          <w:noProof/>
        </w:rPr>
        <w:drawing>
          <wp:inline distT="0" distB="0" distL="0" distR="0" wp14:anchorId="2446B2E6" wp14:editId="3FEAF6E4">
            <wp:extent cx="5684807" cy="943824"/>
            <wp:effectExtent l="19050" t="19050" r="11430"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04340" cy="947067"/>
                    </a:xfrm>
                    <a:prstGeom prst="rect">
                      <a:avLst/>
                    </a:prstGeom>
                    <a:ln>
                      <a:solidFill>
                        <a:schemeClr val="tx1"/>
                      </a:solidFill>
                    </a:ln>
                  </pic:spPr>
                </pic:pic>
              </a:graphicData>
            </a:graphic>
          </wp:inline>
        </w:drawing>
      </w:r>
    </w:p>
    <w:p w:rsidR="00CE12FE" w:rsidRPr="00CE12FE" w:rsidRDefault="00CE12FE" w:rsidP="00E16609">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120.6(e) provides requirements for air compressor systems, but a</w:t>
      </w:r>
      <w:r w:rsidRPr="00CE12FE">
        <w:rPr>
          <w:rFonts w:asciiTheme="minorHAnsi" w:hAnsiTheme="minorHAnsi" w:cstheme="minorHAnsi"/>
          <w:i w:val="0"/>
          <w:color w:val="auto"/>
          <w:sz w:val="22"/>
          <w:szCs w:val="22"/>
        </w:rPr>
        <w:t>ir c</w:t>
      </w:r>
      <w:r>
        <w:rPr>
          <w:rFonts w:asciiTheme="minorHAnsi" w:hAnsiTheme="minorHAnsi" w:cstheme="minorHAnsi"/>
          <w:i w:val="0"/>
          <w:color w:val="auto"/>
          <w:sz w:val="22"/>
          <w:szCs w:val="22"/>
        </w:rPr>
        <w:t>ompressor systems</w:t>
      </w:r>
      <w:r w:rsidRPr="00CE12FE">
        <w:rPr>
          <w:rFonts w:asciiTheme="minorHAnsi" w:hAnsiTheme="minorHAnsi" w:cstheme="minorHAnsi"/>
          <w:i w:val="0"/>
          <w:color w:val="auto"/>
          <w:sz w:val="22"/>
          <w:szCs w:val="22"/>
        </w:rPr>
        <w:t xml:space="preserve"> are not covered in this work paper.</w:t>
      </w:r>
    </w:p>
    <w:p w:rsidR="00B07EE5" w:rsidRDefault="00B07EE5" w:rsidP="00B07EE5">
      <w:pPr>
        <w:rPr>
          <w:rFonts w:asciiTheme="minorHAnsi" w:hAnsiTheme="minorHAnsi" w:cstheme="minorHAnsi"/>
          <w:sz w:val="22"/>
          <w:szCs w:val="22"/>
        </w:rPr>
      </w:pPr>
    </w:p>
    <w:p w:rsidR="006162EB" w:rsidRDefault="00CE12FE" w:rsidP="00B07EE5">
      <w:pPr>
        <w:rPr>
          <w:rFonts w:asciiTheme="minorHAnsi" w:hAnsiTheme="minorHAnsi" w:cstheme="minorHAnsi"/>
          <w:sz w:val="22"/>
          <w:szCs w:val="22"/>
        </w:rPr>
      </w:pPr>
      <w:r>
        <w:rPr>
          <w:rFonts w:asciiTheme="minorHAnsi" w:hAnsiTheme="minorHAnsi" w:cstheme="minorHAnsi"/>
          <w:sz w:val="22"/>
          <w:szCs w:val="22"/>
        </w:rPr>
        <w:t>The Title 24 (2013) requirements mentioned above do not affect this work paper because they apply to new systems</w:t>
      </w:r>
      <w:r w:rsidR="007249D0">
        <w:rPr>
          <w:rFonts w:asciiTheme="minorHAnsi" w:hAnsiTheme="minorHAnsi" w:cstheme="minorHAnsi"/>
          <w:sz w:val="22"/>
          <w:szCs w:val="22"/>
        </w:rPr>
        <w:t xml:space="preserve"> only</w:t>
      </w:r>
      <w:r w:rsidR="006162EB">
        <w:rPr>
          <w:rFonts w:asciiTheme="minorHAnsi" w:hAnsiTheme="minorHAnsi" w:cstheme="minorHAnsi"/>
          <w:sz w:val="22"/>
          <w:szCs w:val="22"/>
        </w:rPr>
        <w:t>.</w:t>
      </w:r>
      <w:r>
        <w:rPr>
          <w:rFonts w:asciiTheme="minorHAnsi" w:hAnsiTheme="minorHAnsi" w:cstheme="minorHAnsi"/>
          <w:sz w:val="22"/>
          <w:szCs w:val="22"/>
        </w:rPr>
        <w:t xml:space="preserve"> </w:t>
      </w:r>
      <w:r w:rsidR="000B7660">
        <w:rPr>
          <w:rFonts w:asciiTheme="minorHAnsi" w:hAnsiTheme="minorHAnsi" w:cstheme="minorHAnsi"/>
          <w:sz w:val="22"/>
          <w:szCs w:val="22"/>
        </w:rPr>
        <w:t>T</w:t>
      </w:r>
      <w:r w:rsidR="00C5690D">
        <w:rPr>
          <w:rFonts w:asciiTheme="minorHAnsi" w:hAnsiTheme="minorHAnsi" w:cstheme="minorHAnsi"/>
          <w:sz w:val="22"/>
          <w:szCs w:val="22"/>
        </w:rPr>
        <w:t>he Process VSD measure</w:t>
      </w:r>
      <w:r w:rsidR="000B7660">
        <w:rPr>
          <w:rFonts w:asciiTheme="minorHAnsi" w:hAnsiTheme="minorHAnsi" w:cstheme="minorHAnsi"/>
          <w:sz w:val="22"/>
          <w:szCs w:val="22"/>
        </w:rPr>
        <w:t xml:space="preserve"> is an add-on to</w:t>
      </w:r>
      <w:r w:rsidR="007249D0">
        <w:rPr>
          <w:rFonts w:asciiTheme="minorHAnsi" w:hAnsiTheme="minorHAnsi" w:cstheme="minorHAnsi"/>
          <w:sz w:val="22"/>
          <w:szCs w:val="22"/>
        </w:rPr>
        <w:t xml:space="preserve"> an existing system</w:t>
      </w:r>
      <w:r w:rsidR="000B7660">
        <w:rPr>
          <w:rFonts w:asciiTheme="minorHAnsi" w:hAnsiTheme="minorHAnsi" w:cstheme="minorHAnsi"/>
          <w:sz w:val="22"/>
          <w:szCs w:val="22"/>
        </w:rPr>
        <w:t xml:space="preserve"> and therefore does not trigger Title 24.</w:t>
      </w:r>
      <w:r w:rsidR="009E68D7">
        <w:rPr>
          <w:rFonts w:asciiTheme="minorHAnsi" w:hAnsiTheme="minorHAnsi" w:cstheme="minorHAnsi"/>
          <w:sz w:val="22"/>
          <w:szCs w:val="22"/>
        </w:rPr>
        <w:t xml:space="preserve"> </w:t>
      </w:r>
    </w:p>
    <w:p w:rsidR="006162EB" w:rsidRPr="00697868" w:rsidRDefault="006162EB"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F6DDC">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7F467A" w:rsidRPr="007F467A"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7F467A" w:rsidRDefault="00881A42" w:rsidP="004B01F8">
            <w:pPr>
              <w:jc w:val="center"/>
              <w:rPr>
                <w:rFonts w:asciiTheme="minorHAnsi" w:hAnsiTheme="minorHAnsi" w:cstheme="minorHAnsi"/>
                <w:sz w:val="20"/>
                <w:szCs w:val="20"/>
              </w:rPr>
            </w:pPr>
            <w:r w:rsidRPr="007F467A">
              <w:rPr>
                <w:rFonts w:asciiTheme="minorHAnsi" w:hAnsiTheme="minorHAnsi" w:cstheme="minorHAnsi"/>
                <w:sz w:val="20"/>
                <w:szCs w:val="20"/>
              </w:rPr>
              <w:t>Title 24 (20</w:t>
            </w:r>
            <w:r w:rsidR="004B01F8" w:rsidRPr="007F467A">
              <w:rPr>
                <w:rFonts w:asciiTheme="minorHAnsi" w:hAnsiTheme="minorHAnsi" w:cstheme="minorHAnsi"/>
                <w:sz w:val="20"/>
                <w:szCs w:val="20"/>
              </w:rPr>
              <w:t>13</w:t>
            </w:r>
            <w:r w:rsidRPr="007F467A">
              <w:rPr>
                <w:rFonts w:asciiTheme="minorHAnsi" w:hAnsiTheme="minorHAnsi" w:cstheme="minorHAnsi"/>
                <w:sz w:val="20"/>
                <w:szCs w:val="20"/>
              </w:rPr>
              <w:t>)</w:t>
            </w:r>
          </w:p>
        </w:tc>
        <w:tc>
          <w:tcPr>
            <w:tcW w:w="4352" w:type="dxa"/>
            <w:vAlign w:val="center"/>
          </w:tcPr>
          <w:p w:rsidR="00881A42" w:rsidRPr="007F467A" w:rsidRDefault="007F467A" w:rsidP="00CE12FE">
            <w:pPr>
              <w:jc w:val="center"/>
              <w:rPr>
                <w:rFonts w:asciiTheme="minorHAnsi" w:hAnsiTheme="minorHAnsi" w:cstheme="minorHAnsi"/>
                <w:sz w:val="20"/>
                <w:szCs w:val="20"/>
              </w:rPr>
            </w:pPr>
            <w:r w:rsidRPr="007F467A">
              <w:rPr>
                <w:rFonts w:asciiTheme="minorHAnsi" w:hAnsiTheme="minorHAnsi" w:cstheme="minorHAnsi"/>
                <w:sz w:val="20"/>
                <w:szCs w:val="20"/>
              </w:rPr>
              <w:t>Section 120.6</w:t>
            </w:r>
            <w:r w:rsidR="00CE12FE">
              <w:rPr>
                <w:rFonts w:asciiTheme="minorHAnsi" w:hAnsiTheme="minorHAnsi" w:cstheme="minorHAnsi"/>
                <w:sz w:val="20"/>
                <w:szCs w:val="20"/>
              </w:rPr>
              <w:t xml:space="preserve"> Mandatory Requirements for </w:t>
            </w:r>
            <w:r w:rsidR="00CE12FE">
              <w:rPr>
                <w:rFonts w:asciiTheme="minorHAnsi" w:hAnsiTheme="minorHAnsi" w:cstheme="minorHAnsi"/>
                <w:sz w:val="20"/>
                <w:szCs w:val="20"/>
              </w:rPr>
              <w:lastRenderedPageBreak/>
              <w:t>Covered Processes</w:t>
            </w:r>
          </w:p>
        </w:tc>
        <w:tc>
          <w:tcPr>
            <w:tcW w:w="1821" w:type="dxa"/>
            <w:vAlign w:val="center"/>
          </w:tcPr>
          <w:p w:rsidR="00881A42" w:rsidRPr="007F467A" w:rsidRDefault="004B01F8" w:rsidP="007E43F8">
            <w:pPr>
              <w:jc w:val="center"/>
              <w:rPr>
                <w:rFonts w:asciiTheme="minorHAnsi" w:hAnsiTheme="minorHAnsi" w:cstheme="minorHAnsi"/>
                <w:sz w:val="20"/>
                <w:szCs w:val="20"/>
              </w:rPr>
            </w:pPr>
            <w:r w:rsidRPr="007F467A">
              <w:rPr>
                <w:rFonts w:asciiTheme="minorHAnsi" w:hAnsiTheme="minorHAnsi" w:cstheme="minorHAnsi"/>
                <w:sz w:val="20"/>
                <w:szCs w:val="20"/>
              </w:rPr>
              <w:lastRenderedPageBreak/>
              <w:t>July 1, 2014</w:t>
            </w:r>
          </w:p>
        </w:tc>
      </w:tr>
    </w:tbl>
    <w:p w:rsidR="00B07EE5" w:rsidRPr="00697868" w:rsidRDefault="00B07EE5"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2" w:name="_Toc214003088"/>
      <w:r w:rsidRPr="00AB21F5">
        <w:rPr>
          <w:rFonts w:asciiTheme="minorHAnsi" w:hAnsiTheme="minorHAnsi"/>
        </w:rPr>
        <w:t>1.4.3 Non-DEER Study Review</w:t>
      </w:r>
    </w:p>
    <w:p w:rsidR="007E3801" w:rsidRPr="007E3801" w:rsidRDefault="009E0929" w:rsidP="00AB21F5">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No studies were used in this work paper. </w:t>
      </w:r>
      <w:r w:rsidR="000A2A20">
        <w:rPr>
          <w:rFonts w:asciiTheme="minorHAnsi" w:hAnsiTheme="minorHAnsi" w:cstheme="minorHAnsi"/>
          <w:i w:val="0"/>
          <w:color w:val="auto"/>
          <w:sz w:val="22"/>
          <w:szCs w:val="22"/>
        </w:rPr>
        <w:t>The SCE Online Application Tool</w:t>
      </w:r>
      <w:r>
        <w:rPr>
          <w:rFonts w:asciiTheme="minorHAnsi" w:hAnsiTheme="minorHAnsi" w:cstheme="minorHAnsi"/>
          <w:i w:val="0"/>
          <w:color w:val="auto"/>
          <w:sz w:val="22"/>
          <w:szCs w:val="22"/>
        </w:rPr>
        <w:t xml:space="preserve"> was used.</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2"/>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FF74FD">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5"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661666" w:rsidRDefault="00661666" w:rsidP="000F130A">
      <w:pPr>
        <w:rPr>
          <w:rFonts w:asciiTheme="minorHAnsi" w:hAnsiTheme="minorHAnsi" w:cstheme="minorHAnsi"/>
          <w:sz w:val="22"/>
          <w:szCs w:val="22"/>
        </w:rPr>
      </w:pPr>
    </w:p>
    <w:p w:rsidR="00DA31B9" w:rsidRDefault="00661666" w:rsidP="00DA31B9">
      <w:pPr>
        <w:rPr>
          <w:rFonts w:asciiTheme="minorHAnsi" w:hAnsiTheme="minorHAnsi" w:cstheme="minorHAnsi"/>
          <w:sz w:val="22"/>
          <w:szCs w:val="22"/>
        </w:rPr>
      </w:pPr>
      <w:r>
        <w:rPr>
          <w:rFonts w:asciiTheme="minorHAnsi" w:hAnsiTheme="minorHAnsi" w:cstheme="minorHAnsi"/>
          <w:sz w:val="22"/>
          <w:szCs w:val="22"/>
        </w:rPr>
        <w:t xml:space="preserve">The EUL is taken from program savings documentation from </w:t>
      </w:r>
      <w:r w:rsidRPr="00B12629">
        <w:rPr>
          <w:rFonts w:asciiTheme="minorHAnsi" w:hAnsiTheme="minorHAnsi" w:cstheme="minorHAnsi"/>
          <w:sz w:val="22"/>
          <w:szCs w:val="22"/>
        </w:rPr>
        <w:t>The Connecticut Light and Power Company and The United Illuminating Company</w:t>
      </w:r>
      <w:r w:rsidR="00C5076C">
        <w:rPr>
          <w:rFonts w:asciiTheme="minorHAnsi" w:hAnsiTheme="minorHAnsi" w:cstheme="minorHAnsi"/>
          <w:sz w:val="22"/>
          <w:szCs w:val="22"/>
        </w:rPr>
        <w:t xml:space="preserve"> [353]</w:t>
      </w:r>
      <w:r>
        <w:rPr>
          <w:rFonts w:asciiTheme="minorHAnsi" w:hAnsiTheme="minorHAnsi" w:cstheme="minorHAnsi"/>
          <w:sz w:val="22"/>
          <w:szCs w:val="22"/>
        </w:rPr>
        <w:t>.</w:t>
      </w:r>
      <w:r w:rsidR="00DA31B9" w:rsidRPr="00DA31B9">
        <w:rPr>
          <w:rFonts w:asciiTheme="minorHAnsi" w:hAnsiTheme="minorHAnsi" w:cstheme="minorHAnsi"/>
          <w:sz w:val="22"/>
          <w:szCs w:val="22"/>
        </w:rPr>
        <w:t xml:space="preserve"> </w:t>
      </w:r>
      <w:r w:rsidR="00DA31B9" w:rsidRPr="00697868">
        <w:rPr>
          <w:rFonts w:asciiTheme="minorHAnsi" w:hAnsiTheme="minorHAnsi" w:cstheme="minorHAnsi"/>
          <w:sz w:val="22"/>
          <w:szCs w:val="22"/>
        </w:rPr>
        <w:fldChar w:fldCharType="begin"/>
      </w:r>
      <w:r w:rsidR="00DA31B9" w:rsidRPr="00697868">
        <w:rPr>
          <w:rFonts w:asciiTheme="minorHAnsi" w:hAnsiTheme="minorHAnsi" w:cstheme="minorHAnsi"/>
          <w:sz w:val="22"/>
          <w:szCs w:val="22"/>
        </w:rPr>
        <w:instrText xml:space="preserve"> REF _Ref296591307 \h  \* MERGEFORMAT </w:instrText>
      </w:r>
      <w:r w:rsidR="00DA31B9" w:rsidRPr="00697868">
        <w:rPr>
          <w:rFonts w:asciiTheme="minorHAnsi" w:hAnsiTheme="minorHAnsi" w:cstheme="minorHAnsi"/>
          <w:sz w:val="22"/>
          <w:szCs w:val="22"/>
        </w:rPr>
      </w:r>
      <w:r w:rsidR="00DA31B9" w:rsidRPr="00697868">
        <w:rPr>
          <w:rFonts w:asciiTheme="minorHAnsi" w:hAnsiTheme="minorHAnsi" w:cstheme="minorHAnsi"/>
          <w:sz w:val="22"/>
          <w:szCs w:val="22"/>
        </w:rPr>
        <w:fldChar w:fldCharType="separate"/>
      </w:r>
      <w:r w:rsidR="00CF6DDC" w:rsidRPr="00697868">
        <w:rPr>
          <w:rFonts w:asciiTheme="minorHAnsi" w:hAnsiTheme="minorHAnsi" w:cstheme="minorHAnsi"/>
          <w:sz w:val="22"/>
          <w:szCs w:val="22"/>
        </w:rPr>
        <w:t xml:space="preserve">Table </w:t>
      </w:r>
      <w:r w:rsidR="00CF6DDC">
        <w:rPr>
          <w:rFonts w:asciiTheme="minorHAnsi" w:hAnsiTheme="minorHAnsi" w:cstheme="minorHAnsi"/>
          <w:noProof/>
          <w:sz w:val="22"/>
          <w:szCs w:val="22"/>
        </w:rPr>
        <w:t>7</w:t>
      </w:r>
      <w:r w:rsidR="00DA31B9" w:rsidRPr="00697868">
        <w:rPr>
          <w:rFonts w:asciiTheme="minorHAnsi" w:hAnsiTheme="minorHAnsi" w:cstheme="minorHAnsi"/>
          <w:sz w:val="22"/>
          <w:szCs w:val="22"/>
        </w:rPr>
        <w:fldChar w:fldCharType="end"/>
      </w:r>
      <w:r w:rsidR="00DA31B9"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3"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F6DDC">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3"/>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697868" w:rsidRDefault="000A2A20" w:rsidP="000F130A">
            <w:pPr>
              <w:rPr>
                <w:rFonts w:asciiTheme="minorHAnsi" w:hAnsiTheme="minorHAnsi" w:cstheme="minorHAnsi"/>
                <w:sz w:val="20"/>
                <w:szCs w:val="20"/>
              </w:rPr>
            </w:pPr>
            <w:r>
              <w:rPr>
                <w:rFonts w:asciiTheme="minorHAnsi" w:hAnsiTheme="minorHAnsi" w:cstheme="minorHAnsi"/>
                <w:sz w:val="20"/>
                <w:szCs w:val="20"/>
              </w:rPr>
              <w:t>NonDEER</w:t>
            </w:r>
          </w:p>
        </w:tc>
        <w:tc>
          <w:tcPr>
            <w:tcW w:w="1731" w:type="dxa"/>
          </w:tcPr>
          <w:p w:rsidR="001C5A94" w:rsidRPr="00697868" w:rsidRDefault="004D3B93" w:rsidP="004D3B93">
            <w:pPr>
              <w:rPr>
                <w:rFonts w:asciiTheme="minorHAnsi" w:hAnsiTheme="minorHAnsi" w:cstheme="minorHAnsi"/>
                <w:sz w:val="20"/>
                <w:szCs w:val="20"/>
              </w:rPr>
            </w:pPr>
            <w:r>
              <w:rPr>
                <w:rFonts w:asciiTheme="minorHAnsi" w:hAnsiTheme="minorHAnsi" w:cstheme="minorHAnsi"/>
                <w:sz w:val="20"/>
                <w:szCs w:val="20"/>
              </w:rPr>
              <w:t>Non-Residential</w:t>
            </w:r>
          </w:p>
        </w:tc>
        <w:tc>
          <w:tcPr>
            <w:tcW w:w="1214" w:type="dxa"/>
          </w:tcPr>
          <w:p w:rsidR="001C5A94" w:rsidRPr="00697868" w:rsidRDefault="000A2A20" w:rsidP="00661666">
            <w:pPr>
              <w:rPr>
                <w:rFonts w:asciiTheme="minorHAnsi" w:hAnsiTheme="minorHAnsi" w:cstheme="minorHAnsi"/>
                <w:sz w:val="20"/>
                <w:szCs w:val="20"/>
              </w:rPr>
            </w:pPr>
            <w:r>
              <w:rPr>
                <w:rFonts w:asciiTheme="minorHAnsi" w:hAnsiTheme="minorHAnsi" w:cstheme="minorHAnsi"/>
                <w:sz w:val="20"/>
                <w:szCs w:val="20"/>
              </w:rPr>
              <w:t>Process</w:t>
            </w:r>
          </w:p>
        </w:tc>
        <w:tc>
          <w:tcPr>
            <w:tcW w:w="2161" w:type="dxa"/>
          </w:tcPr>
          <w:p w:rsidR="001C5A94" w:rsidRPr="00697868" w:rsidRDefault="000A2A20" w:rsidP="000F130A">
            <w:pPr>
              <w:rPr>
                <w:rFonts w:asciiTheme="minorHAnsi" w:hAnsiTheme="minorHAnsi" w:cstheme="minorHAnsi"/>
                <w:sz w:val="20"/>
                <w:szCs w:val="20"/>
              </w:rPr>
            </w:pPr>
            <w:r>
              <w:rPr>
                <w:rFonts w:asciiTheme="minorHAnsi" w:hAnsiTheme="minorHAnsi" w:cstheme="minorHAnsi"/>
                <w:sz w:val="20"/>
                <w:szCs w:val="20"/>
              </w:rPr>
              <w:t>Variable Speed Drive on Process Fan Control</w:t>
            </w:r>
          </w:p>
        </w:tc>
        <w:tc>
          <w:tcPr>
            <w:tcW w:w="1566" w:type="dxa"/>
          </w:tcPr>
          <w:p w:rsidR="001C5A94" w:rsidRPr="00697868" w:rsidRDefault="000A2A20" w:rsidP="000F130A">
            <w:pPr>
              <w:rPr>
                <w:rFonts w:asciiTheme="minorHAnsi" w:hAnsiTheme="minorHAnsi" w:cstheme="minorHAnsi"/>
                <w:sz w:val="20"/>
                <w:szCs w:val="20"/>
              </w:rPr>
            </w:pPr>
            <w:r>
              <w:rPr>
                <w:rFonts w:asciiTheme="minorHAnsi" w:hAnsiTheme="minorHAnsi" w:cstheme="minorHAnsi"/>
                <w:sz w:val="20"/>
                <w:szCs w:val="20"/>
              </w:rPr>
              <w:t>13</w:t>
            </w:r>
          </w:p>
        </w:tc>
        <w:tc>
          <w:tcPr>
            <w:tcW w:w="1443" w:type="dxa"/>
          </w:tcPr>
          <w:p w:rsidR="001C5A94" w:rsidRPr="00697868" w:rsidRDefault="00725236" w:rsidP="000F130A">
            <w:pPr>
              <w:rPr>
                <w:rFonts w:asciiTheme="minorHAnsi" w:hAnsiTheme="minorHAnsi" w:cstheme="minorHAnsi"/>
                <w:sz w:val="20"/>
                <w:szCs w:val="20"/>
              </w:rPr>
            </w:pPr>
            <w:r>
              <w:rPr>
                <w:rFonts w:asciiTheme="minorHAnsi" w:hAnsiTheme="minorHAnsi" w:cstheme="minorHAnsi"/>
                <w:sz w:val="20"/>
                <w:szCs w:val="20"/>
              </w:rPr>
              <w:t>N/A</w:t>
            </w:r>
          </w:p>
        </w:tc>
      </w:tr>
    </w:tbl>
    <w:p w:rsidR="00E16609" w:rsidRPr="00697868" w:rsidRDefault="00E16609" w:rsidP="00560934">
      <w:pPr>
        <w:pStyle w:val="Heading1"/>
        <w:keepNext w:val="0"/>
        <w:rPr>
          <w:rFonts w:asciiTheme="minorHAnsi" w:hAnsiTheme="minorHAnsi" w:cstheme="minorHAnsi"/>
        </w:rPr>
      </w:pPr>
      <w:bookmarkStart w:id="14"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4"/>
    </w:p>
    <w:p w:rsidR="00EE7437" w:rsidRPr="00AD6D86" w:rsidRDefault="00AD6D86" w:rsidP="00AD6D86">
      <w:pPr>
        <w:rPr>
          <w:rFonts w:asciiTheme="minorHAnsi" w:hAnsiTheme="minorHAnsi"/>
          <w:sz w:val="22"/>
          <w:szCs w:val="22"/>
        </w:rPr>
      </w:pPr>
      <w:bookmarkStart w:id="15" w:name="_Toc214003093"/>
      <w:r w:rsidRPr="00AD6D86">
        <w:rPr>
          <w:rFonts w:asciiTheme="minorHAnsi" w:hAnsiTheme="minorHAnsi" w:cs="Calibri"/>
          <w:sz w:val="22"/>
          <w:szCs w:val="22"/>
        </w:rPr>
        <w:t>This measure achieves energy savings and demand reduction by enabling a</w:t>
      </w:r>
      <w:r w:rsidR="00EE7437" w:rsidRPr="00AD6D86">
        <w:rPr>
          <w:rFonts w:asciiTheme="minorHAnsi" w:hAnsiTheme="minorHAnsi" w:cs="Calibri"/>
          <w:sz w:val="22"/>
          <w:szCs w:val="22"/>
        </w:rPr>
        <w:t xml:space="preserve"> process fan to operate</w:t>
      </w:r>
      <w:r w:rsidR="00EE7437">
        <w:rPr>
          <w:rFonts w:asciiTheme="minorHAnsi" w:hAnsiTheme="minorHAnsi" w:cs="Calibri"/>
          <w:sz w:val="22"/>
          <w:szCs w:val="22"/>
        </w:rPr>
        <w:t xml:space="preserve"> more efficiently at part load conditions.</w:t>
      </w:r>
      <w:r w:rsidRPr="00AD6D86">
        <w:rPr>
          <w:rFonts w:asciiTheme="minorHAnsi" w:hAnsiTheme="minorHAnsi"/>
          <w:sz w:val="22"/>
          <w:szCs w:val="22"/>
        </w:rPr>
        <w:t xml:space="preserve"> </w:t>
      </w:r>
      <w:r>
        <w:rPr>
          <w:rFonts w:asciiTheme="minorHAnsi" w:hAnsiTheme="minorHAnsi"/>
          <w:sz w:val="22"/>
          <w:szCs w:val="22"/>
        </w:rPr>
        <w:t>Savings</w:t>
      </w:r>
      <w:r w:rsidRPr="008E3459">
        <w:rPr>
          <w:rFonts w:asciiTheme="minorHAnsi" w:hAnsiTheme="minorHAnsi"/>
          <w:sz w:val="22"/>
          <w:szCs w:val="22"/>
        </w:rPr>
        <w:t xml:space="preserve"> do not vary by climate zone or building type.</w:t>
      </w:r>
    </w:p>
    <w:p w:rsidR="00EE7437" w:rsidRDefault="00EE7437" w:rsidP="00EE7437">
      <w:pPr>
        <w:pStyle w:val="Reminder"/>
        <w:rPr>
          <w:rFonts w:asciiTheme="minorHAnsi" w:hAnsiTheme="minorHAnsi" w:cs="Calibri"/>
          <w:i w:val="0"/>
          <w:color w:val="auto"/>
          <w:sz w:val="22"/>
          <w:szCs w:val="22"/>
        </w:rPr>
      </w:pPr>
    </w:p>
    <w:p w:rsidR="00AD6D86" w:rsidRPr="00AD6D86" w:rsidRDefault="00AD6D86" w:rsidP="00EE7437">
      <w:pPr>
        <w:pStyle w:val="Reminder"/>
        <w:rPr>
          <w:rFonts w:asciiTheme="minorHAnsi" w:hAnsiTheme="minorHAnsi" w:cs="Calibri"/>
          <w:b/>
          <w:i w:val="0"/>
          <w:color w:val="auto"/>
          <w:sz w:val="22"/>
          <w:szCs w:val="22"/>
        </w:rPr>
      </w:pPr>
      <w:r w:rsidRPr="00AD6D86">
        <w:rPr>
          <w:rFonts w:asciiTheme="minorHAnsi" w:hAnsiTheme="minorHAnsi" w:cs="Calibri"/>
          <w:b/>
          <w:i w:val="0"/>
          <w:color w:val="auto"/>
          <w:sz w:val="22"/>
          <w:szCs w:val="22"/>
        </w:rPr>
        <w:t>Online Application Tool</w:t>
      </w:r>
    </w:p>
    <w:p w:rsidR="00EE7437" w:rsidRDefault="00EE7437" w:rsidP="00EE7437">
      <w:pPr>
        <w:pStyle w:val="Reminder"/>
        <w:rPr>
          <w:rFonts w:asciiTheme="minorHAnsi" w:hAnsiTheme="minorHAnsi" w:cs="Calibri"/>
          <w:i w:val="0"/>
          <w:color w:val="auto"/>
          <w:sz w:val="22"/>
          <w:szCs w:val="22"/>
        </w:rPr>
      </w:pPr>
      <w:r>
        <w:rPr>
          <w:rFonts w:asciiTheme="minorHAnsi" w:hAnsiTheme="minorHAnsi" w:cs="Calibri"/>
          <w:i w:val="0"/>
          <w:color w:val="auto"/>
          <w:sz w:val="22"/>
          <w:szCs w:val="22"/>
        </w:rPr>
        <w:t>The Fan Systems Upgrade Tool in SCE’s Online Application Tool is a preferred calculation tool for th</w:t>
      </w:r>
      <w:r w:rsidR="003C2B9F">
        <w:rPr>
          <w:rFonts w:asciiTheme="minorHAnsi" w:hAnsiTheme="minorHAnsi" w:cs="Calibri"/>
          <w:i w:val="0"/>
          <w:color w:val="auto"/>
          <w:sz w:val="22"/>
          <w:szCs w:val="22"/>
        </w:rPr>
        <w:t>e Statewide Customized Offering. It</w:t>
      </w:r>
      <w:r>
        <w:rPr>
          <w:rFonts w:asciiTheme="minorHAnsi" w:hAnsiTheme="minorHAnsi" w:cs="Calibri"/>
          <w:i w:val="0"/>
          <w:color w:val="auto"/>
          <w:sz w:val="22"/>
          <w:szCs w:val="22"/>
        </w:rPr>
        <w:t xml:space="preserve"> allows the user to input a baseline fan system and calculate the savings associated with the </w:t>
      </w:r>
      <w:r w:rsidR="003C2B9F">
        <w:rPr>
          <w:rFonts w:asciiTheme="minorHAnsi" w:hAnsiTheme="minorHAnsi"/>
          <w:i w:val="0"/>
          <w:color w:val="auto"/>
          <w:sz w:val="22"/>
          <w:szCs w:val="22"/>
        </w:rPr>
        <w:t>installation of a VS</w:t>
      </w:r>
      <w:r>
        <w:rPr>
          <w:rFonts w:asciiTheme="minorHAnsi" w:hAnsiTheme="minorHAnsi"/>
          <w:i w:val="0"/>
          <w:color w:val="auto"/>
          <w:sz w:val="22"/>
          <w:szCs w:val="22"/>
        </w:rPr>
        <w:t>D on the fan drive motor</w:t>
      </w:r>
      <w:r w:rsidR="003C2B9F">
        <w:rPr>
          <w:rFonts w:asciiTheme="minorHAnsi" w:hAnsiTheme="minorHAnsi" w:cs="Calibri"/>
          <w:i w:val="0"/>
          <w:color w:val="auto"/>
          <w:sz w:val="22"/>
          <w:szCs w:val="22"/>
        </w:rPr>
        <w:t>. This software tool us</w:t>
      </w:r>
      <w:r>
        <w:rPr>
          <w:rFonts w:asciiTheme="minorHAnsi" w:hAnsiTheme="minorHAnsi" w:cs="Calibri"/>
          <w:i w:val="0"/>
          <w:color w:val="auto"/>
          <w:sz w:val="22"/>
          <w:szCs w:val="22"/>
        </w:rPr>
        <w:t xml:space="preserve">es information </w:t>
      </w:r>
      <w:r w:rsidR="003C2B9F">
        <w:rPr>
          <w:rFonts w:asciiTheme="minorHAnsi" w:hAnsiTheme="minorHAnsi" w:cs="Calibri"/>
          <w:i w:val="0"/>
          <w:color w:val="auto"/>
          <w:sz w:val="22"/>
          <w:szCs w:val="22"/>
        </w:rPr>
        <w:t>from the</w:t>
      </w:r>
      <w:r>
        <w:rPr>
          <w:rFonts w:asciiTheme="minorHAnsi" w:hAnsiTheme="minorHAnsi" w:cs="Calibri"/>
          <w:i w:val="0"/>
          <w:color w:val="auto"/>
          <w:sz w:val="22"/>
          <w:szCs w:val="22"/>
        </w:rPr>
        <w:t xml:space="preserve"> FSAT (Fan System Assessment Tool created under the direction of the DOE) </w:t>
      </w:r>
      <w:r w:rsidR="00371AA7">
        <w:rPr>
          <w:rFonts w:asciiTheme="minorHAnsi" w:hAnsiTheme="minorHAnsi" w:cs="Calibri"/>
          <w:i w:val="0"/>
          <w:color w:val="auto"/>
          <w:sz w:val="22"/>
          <w:szCs w:val="22"/>
        </w:rPr>
        <w:t>in conjunction with fan</w:t>
      </w:r>
      <w:r w:rsidR="009E68D7">
        <w:rPr>
          <w:rFonts w:asciiTheme="minorHAnsi" w:hAnsiTheme="minorHAnsi" w:cs="Calibri"/>
          <w:i w:val="0"/>
          <w:color w:val="auto"/>
          <w:sz w:val="22"/>
          <w:szCs w:val="22"/>
        </w:rPr>
        <w:t xml:space="preserve"> affinity</w:t>
      </w:r>
      <w:r w:rsidR="00371AA7">
        <w:rPr>
          <w:rFonts w:asciiTheme="minorHAnsi" w:hAnsiTheme="minorHAnsi" w:cs="Calibri"/>
          <w:i w:val="0"/>
          <w:color w:val="auto"/>
          <w:sz w:val="22"/>
          <w:szCs w:val="22"/>
        </w:rPr>
        <w:t xml:space="preserve"> law</w:t>
      </w:r>
      <w:r w:rsidR="009E68D7">
        <w:rPr>
          <w:rFonts w:asciiTheme="minorHAnsi" w:hAnsiTheme="minorHAnsi" w:cs="Calibri"/>
          <w:i w:val="0"/>
          <w:color w:val="auto"/>
          <w:sz w:val="22"/>
          <w:szCs w:val="22"/>
        </w:rPr>
        <w:t>s</w:t>
      </w:r>
      <w:r w:rsidR="00371AA7">
        <w:rPr>
          <w:rFonts w:asciiTheme="minorHAnsi" w:hAnsiTheme="minorHAnsi" w:cs="Calibri"/>
          <w:i w:val="0"/>
          <w:color w:val="auto"/>
          <w:sz w:val="22"/>
          <w:szCs w:val="22"/>
        </w:rPr>
        <w:t>; see Attachment 4 for the Fan Systems Upgrade Tool documentation</w:t>
      </w:r>
      <w:r>
        <w:rPr>
          <w:rFonts w:asciiTheme="minorHAnsi" w:hAnsiTheme="minorHAnsi" w:cs="Calibri"/>
          <w:i w:val="0"/>
          <w:color w:val="auto"/>
          <w:sz w:val="22"/>
          <w:szCs w:val="22"/>
        </w:rPr>
        <w:t xml:space="preserve">. </w:t>
      </w:r>
      <w:r w:rsidR="009E68D7">
        <w:rPr>
          <w:rFonts w:asciiTheme="minorHAnsi" w:hAnsiTheme="minorHAnsi" w:cs="Calibri"/>
          <w:i w:val="0"/>
          <w:color w:val="auto"/>
          <w:sz w:val="22"/>
          <w:szCs w:val="22"/>
        </w:rPr>
        <w:t>See the equation below for the relationship between fan power</w:t>
      </w:r>
      <w:r w:rsidR="00ED79D1">
        <w:rPr>
          <w:rFonts w:asciiTheme="minorHAnsi" w:hAnsiTheme="minorHAnsi" w:cs="Calibri"/>
          <w:i w:val="0"/>
          <w:color w:val="auto"/>
          <w:sz w:val="22"/>
          <w:szCs w:val="22"/>
        </w:rPr>
        <w:t xml:space="preserve"> (P)</w:t>
      </w:r>
      <w:r w:rsidR="009E68D7">
        <w:rPr>
          <w:rFonts w:asciiTheme="minorHAnsi" w:hAnsiTheme="minorHAnsi" w:cs="Calibri"/>
          <w:i w:val="0"/>
          <w:color w:val="auto"/>
          <w:sz w:val="22"/>
          <w:szCs w:val="22"/>
        </w:rPr>
        <w:t xml:space="preserve"> and speed</w:t>
      </w:r>
      <w:r w:rsidR="00ED79D1">
        <w:rPr>
          <w:rFonts w:asciiTheme="minorHAnsi" w:hAnsiTheme="minorHAnsi" w:cs="Calibri"/>
          <w:i w:val="0"/>
          <w:color w:val="auto"/>
          <w:sz w:val="22"/>
          <w:szCs w:val="22"/>
        </w:rPr>
        <w:t xml:space="preserve"> (n)</w:t>
      </w:r>
      <w:r w:rsidR="009E68D7">
        <w:rPr>
          <w:rFonts w:asciiTheme="minorHAnsi" w:hAnsiTheme="minorHAnsi" w:cs="Calibri"/>
          <w:i w:val="0"/>
          <w:color w:val="auto"/>
          <w:sz w:val="22"/>
          <w:szCs w:val="22"/>
        </w:rPr>
        <w:t>:</w:t>
      </w:r>
    </w:p>
    <w:p w:rsidR="009E68D7" w:rsidRDefault="009E68D7" w:rsidP="00EE7437">
      <w:pPr>
        <w:pStyle w:val="Reminder"/>
        <w:rPr>
          <w:rFonts w:asciiTheme="minorHAnsi" w:hAnsiTheme="minorHAnsi" w:cs="Calibri"/>
          <w:i w:val="0"/>
          <w:color w:val="auto"/>
          <w:sz w:val="22"/>
          <w:szCs w:val="22"/>
        </w:rPr>
      </w:pPr>
    </w:p>
    <w:p w:rsidR="00EE7437" w:rsidRDefault="004D4C21" w:rsidP="00EE7437">
      <w:pPr>
        <w:pStyle w:val="Reminder"/>
        <w:rPr>
          <w:rFonts w:asciiTheme="minorHAnsi" w:hAnsiTheme="minorHAnsi" w:cs="Calibri"/>
          <w:i w:val="0"/>
          <w:color w:val="auto"/>
          <w:sz w:val="22"/>
          <w:szCs w:val="22"/>
        </w:rPr>
      </w:pPr>
      <m:oMathPara>
        <m:oMath>
          <m:f>
            <m:fPr>
              <m:ctrlPr>
                <w:rPr>
                  <w:rFonts w:ascii="Cambria Math" w:hAnsi="Cambria Math" w:cs="Calibri"/>
                  <w:color w:val="auto"/>
                  <w:sz w:val="22"/>
                  <w:szCs w:val="22"/>
                </w:rPr>
              </m:ctrlPr>
            </m:fPr>
            <m:num>
              <m:sSub>
                <m:sSubPr>
                  <m:ctrlPr>
                    <w:rPr>
                      <w:rFonts w:ascii="Cambria Math" w:hAnsi="Cambria Math" w:cs="Calibri"/>
                      <w:color w:val="auto"/>
                      <w:sz w:val="22"/>
                      <w:szCs w:val="22"/>
                    </w:rPr>
                  </m:ctrlPr>
                </m:sSubPr>
                <m:e>
                  <m:r>
                    <w:rPr>
                      <w:rFonts w:ascii="Cambria Math" w:hAnsi="Cambria Math" w:cs="Calibri"/>
                      <w:color w:val="auto"/>
                      <w:sz w:val="22"/>
                      <w:szCs w:val="22"/>
                    </w:rPr>
                    <m:t>P</m:t>
                  </m:r>
                </m:e>
                <m:sub>
                  <m:r>
                    <w:rPr>
                      <w:rFonts w:ascii="Cambria Math" w:hAnsi="Cambria Math" w:cs="Calibri"/>
                      <w:color w:val="auto"/>
                      <w:sz w:val="22"/>
                      <w:szCs w:val="22"/>
                    </w:rPr>
                    <m:t>1</m:t>
                  </m:r>
                </m:sub>
              </m:sSub>
            </m:num>
            <m:den>
              <m:sSub>
                <m:sSubPr>
                  <m:ctrlPr>
                    <w:rPr>
                      <w:rFonts w:ascii="Cambria Math" w:hAnsi="Cambria Math" w:cs="Calibri"/>
                      <w:color w:val="auto"/>
                      <w:sz w:val="22"/>
                      <w:szCs w:val="22"/>
                    </w:rPr>
                  </m:ctrlPr>
                </m:sSubPr>
                <m:e>
                  <m:r>
                    <w:rPr>
                      <w:rFonts w:ascii="Cambria Math" w:hAnsi="Cambria Math" w:cs="Calibri"/>
                      <w:color w:val="auto"/>
                      <w:sz w:val="22"/>
                      <w:szCs w:val="22"/>
                    </w:rPr>
                    <m:t>P</m:t>
                  </m:r>
                </m:e>
                <m:sub>
                  <m:r>
                    <w:rPr>
                      <w:rFonts w:ascii="Cambria Math" w:hAnsi="Cambria Math" w:cs="Calibri"/>
                      <w:color w:val="auto"/>
                      <w:sz w:val="22"/>
                      <w:szCs w:val="22"/>
                    </w:rPr>
                    <m:t>2</m:t>
                  </m:r>
                </m:sub>
              </m:sSub>
            </m:den>
          </m:f>
          <m:r>
            <w:rPr>
              <w:rFonts w:ascii="Cambria Math" w:hAnsi="Cambria Math" w:cs="Calibri"/>
              <w:color w:val="auto"/>
              <w:sz w:val="22"/>
              <w:szCs w:val="22"/>
            </w:rPr>
            <m:t>=</m:t>
          </m:r>
          <m:sSup>
            <m:sSupPr>
              <m:ctrlPr>
                <w:rPr>
                  <w:rFonts w:ascii="Cambria Math" w:hAnsi="Cambria Math" w:cs="Calibri"/>
                  <w:color w:val="auto"/>
                  <w:sz w:val="22"/>
                  <w:szCs w:val="22"/>
                </w:rPr>
              </m:ctrlPr>
            </m:sSupPr>
            <m:e>
              <m:d>
                <m:dPr>
                  <m:ctrlPr>
                    <w:rPr>
                      <w:rFonts w:ascii="Cambria Math" w:hAnsi="Cambria Math" w:cs="Calibri"/>
                      <w:color w:val="auto"/>
                      <w:sz w:val="22"/>
                      <w:szCs w:val="22"/>
                    </w:rPr>
                  </m:ctrlPr>
                </m:dPr>
                <m:e>
                  <m:f>
                    <m:fPr>
                      <m:ctrlPr>
                        <w:rPr>
                          <w:rFonts w:ascii="Cambria Math" w:hAnsi="Cambria Math" w:cs="Calibri"/>
                          <w:color w:val="auto"/>
                          <w:sz w:val="22"/>
                          <w:szCs w:val="22"/>
                        </w:rPr>
                      </m:ctrlPr>
                    </m:fPr>
                    <m:num>
                      <m:sSub>
                        <m:sSubPr>
                          <m:ctrlPr>
                            <w:rPr>
                              <w:rFonts w:ascii="Cambria Math" w:hAnsi="Cambria Math" w:cs="Calibri"/>
                              <w:color w:val="auto"/>
                              <w:sz w:val="22"/>
                              <w:szCs w:val="22"/>
                            </w:rPr>
                          </m:ctrlPr>
                        </m:sSubPr>
                        <m:e>
                          <m:r>
                            <w:rPr>
                              <w:rFonts w:ascii="Cambria Math" w:hAnsi="Cambria Math" w:cs="Calibri"/>
                              <w:color w:val="auto"/>
                              <w:sz w:val="22"/>
                              <w:szCs w:val="22"/>
                            </w:rPr>
                            <m:t>n</m:t>
                          </m:r>
                        </m:e>
                        <m:sub>
                          <m:r>
                            <w:rPr>
                              <w:rFonts w:ascii="Cambria Math" w:hAnsi="Cambria Math" w:cs="Calibri"/>
                              <w:color w:val="auto"/>
                              <w:sz w:val="22"/>
                              <w:szCs w:val="22"/>
                            </w:rPr>
                            <m:t>1</m:t>
                          </m:r>
                        </m:sub>
                      </m:sSub>
                    </m:num>
                    <m:den>
                      <m:sSub>
                        <m:sSubPr>
                          <m:ctrlPr>
                            <w:rPr>
                              <w:rFonts w:ascii="Cambria Math" w:hAnsi="Cambria Math" w:cs="Calibri"/>
                              <w:color w:val="auto"/>
                              <w:sz w:val="22"/>
                              <w:szCs w:val="22"/>
                            </w:rPr>
                          </m:ctrlPr>
                        </m:sSubPr>
                        <m:e>
                          <m:r>
                            <w:rPr>
                              <w:rFonts w:ascii="Cambria Math" w:hAnsi="Cambria Math" w:cs="Calibri"/>
                              <w:color w:val="auto"/>
                              <w:sz w:val="22"/>
                              <w:szCs w:val="22"/>
                            </w:rPr>
                            <m:t>n</m:t>
                          </m:r>
                        </m:e>
                        <m:sub>
                          <m:r>
                            <w:rPr>
                              <w:rFonts w:ascii="Cambria Math" w:hAnsi="Cambria Math" w:cs="Calibri"/>
                              <w:color w:val="auto"/>
                              <w:sz w:val="22"/>
                              <w:szCs w:val="22"/>
                            </w:rPr>
                            <m:t>2</m:t>
                          </m:r>
                        </m:sub>
                      </m:sSub>
                    </m:den>
                  </m:f>
                </m:e>
              </m:d>
            </m:e>
            <m:sup>
              <m:r>
                <w:rPr>
                  <w:rFonts w:ascii="Cambria Math" w:hAnsi="Cambria Math" w:cs="Calibri"/>
                  <w:color w:val="auto"/>
                  <w:sz w:val="22"/>
                  <w:szCs w:val="22"/>
                </w:rPr>
                <m:t>3</m:t>
              </m:r>
            </m:sup>
          </m:sSup>
        </m:oMath>
      </m:oMathPara>
    </w:p>
    <w:p w:rsidR="009E68D7" w:rsidRDefault="009E68D7" w:rsidP="00EE7437">
      <w:pPr>
        <w:pStyle w:val="Reminder"/>
        <w:rPr>
          <w:rFonts w:asciiTheme="minorHAnsi" w:hAnsiTheme="minorHAnsi" w:cs="Calibri"/>
          <w:i w:val="0"/>
          <w:color w:val="auto"/>
          <w:sz w:val="22"/>
          <w:szCs w:val="22"/>
        </w:rPr>
      </w:pPr>
    </w:p>
    <w:p w:rsidR="00EE7437" w:rsidRDefault="00EE7437" w:rsidP="00EE7437">
      <w:pPr>
        <w:pStyle w:val="Reminder"/>
        <w:rPr>
          <w:rFonts w:asciiTheme="minorHAnsi" w:hAnsiTheme="minorHAnsi" w:cs="Calibri"/>
          <w:i w:val="0"/>
          <w:color w:val="auto"/>
          <w:sz w:val="22"/>
          <w:szCs w:val="22"/>
        </w:rPr>
      </w:pPr>
      <w:r>
        <w:rPr>
          <w:rFonts w:asciiTheme="minorHAnsi" w:hAnsiTheme="minorHAnsi" w:cs="Calibri"/>
          <w:i w:val="0"/>
          <w:color w:val="auto"/>
          <w:sz w:val="22"/>
          <w:szCs w:val="22"/>
        </w:rPr>
        <w:t>Savings were modeled for eleven different baseline fan systems, usi</w:t>
      </w:r>
      <w:r w:rsidR="00783A3A">
        <w:rPr>
          <w:rFonts w:asciiTheme="minorHAnsi" w:hAnsiTheme="minorHAnsi" w:cs="Calibri"/>
          <w:i w:val="0"/>
          <w:color w:val="auto"/>
          <w:sz w:val="22"/>
          <w:szCs w:val="22"/>
        </w:rPr>
        <w:t>ng NEC standard motor sizes (5 hp</w:t>
      </w:r>
      <w:r>
        <w:rPr>
          <w:rFonts w:asciiTheme="minorHAnsi" w:hAnsiTheme="minorHAnsi" w:cs="Calibri"/>
          <w:i w:val="0"/>
          <w:color w:val="auto"/>
          <w:sz w:val="22"/>
          <w:szCs w:val="22"/>
        </w:rPr>
        <w:t>, 7.5</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10</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15</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20</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25</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30</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40</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50</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60</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75</w:t>
      </w:r>
      <w:r w:rsidR="00783A3A">
        <w:rPr>
          <w:rFonts w:asciiTheme="minorHAnsi" w:hAnsiTheme="minorHAnsi" w:cs="Calibri"/>
          <w:i w:val="0"/>
          <w:color w:val="auto"/>
          <w:sz w:val="22"/>
          <w:szCs w:val="22"/>
        </w:rPr>
        <w:t xml:space="preserve"> hp</w:t>
      </w:r>
      <w:r>
        <w:rPr>
          <w:rFonts w:asciiTheme="minorHAnsi" w:hAnsiTheme="minorHAnsi" w:cs="Calibri"/>
          <w:i w:val="0"/>
          <w:color w:val="auto"/>
          <w:sz w:val="22"/>
          <w:szCs w:val="22"/>
        </w:rPr>
        <w:t>). Inputs were u</w:t>
      </w:r>
      <w:r w:rsidR="00783A3A">
        <w:rPr>
          <w:rFonts w:asciiTheme="minorHAnsi" w:hAnsiTheme="minorHAnsi" w:cs="Calibri"/>
          <w:i w:val="0"/>
          <w:color w:val="auto"/>
          <w:sz w:val="22"/>
          <w:szCs w:val="22"/>
        </w:rPr>
        <w:t>s</w:t>
      </w:r>
      <w:r>
        <w:rPr>
          <w:rFonts w:asciiTheme="minorHAnsi" w:hAnsiTheme="minorHAnsi" w:cs="Calibri"/>
          <w:i w:val="0"/>
          <w:color w:val="auto"/>
          <w:sz w:val="22"/>
          <w:szCs w:val="22"/>
        </w:rPr>
        <w:t xml:space="preserve">ed to create a typical process fan system. Centrifugal fans are more common for process fans due to their size advantage, and were therefore assumed as the baseline fan type. Since process fans are not weather dependent, the savings will not vary </w:t>
      </w:r>
      <w:r w:rsidR="00371AA7">
        <w:rPr>
          <w:rFonts w:asciiTheme="minorHAnsi" w:hAnsiTheme="minorHAnsi" w:cs="Calibri"/>
          <w:i w:val="0"/>
          <w:color w:val="auto"/>
          <w:sz w:val="22"/>
          <w:szCs w:val="22"/>
        </w:rPr>
        <w:t>among</w:t>
      </w:r>
      <w:r>
        <w:rPr>
          <w:rFonts w:asciiTheme="minorHAnsi" w:hAnsiTheme="minorHAnsi" w:cs="Calibri"/>
          <w:i w:val="0"/>
          <w:color w:val="auto"/>
          <w:sz w:val="22"/>
          <w:szCs w:val="22"/>
        </w:rPr>
        <w:t xml:space="preserve"> climate zones. For simulation purposes only, Los Angeles was selected as a typical city, and since the calculations are not dependent on climate zone, the results are applicable to all climate zones. Fan static pressures vary widely by application and the Fan Tool </w:t>
      </w:r>
      <w:r>
        <w:rPr>
          <w:rFonts w:asciiTheme="minorHAnsi" w:hAnsiTheme="minorHAnsi" w:cs="Calibri"/>
          <w:i w:val="0"/>
          <w:color w:val="auto"/>
          <w:sz w:val="22"/>
          <w:szCs w:val="22"/>
        </w:rPr>
        <w:lastRenderedPageBreak/>
        <w:t>allows for a range from 0-35</w:t>
      </w:r>
      <w:proofErr w:type="gramStart"/>
      <w:r>
        <w:rPr>
          <w:rFonts w:asciiTheme="minorHAnsi" w:hAnsiTheme="minorHAnsi" w:cs="Calibri"/>
          <w:i w:val="0"/>
          <w:color w:val="auto"/>
          <w:sz w:val="22"/>
          <w:szCs w:val="22"/>
        </w:rPr>
        <w:t>“ Wg</w:t>
      </w:r>
      <w:proofErr w:type="gramEnd"/>
      <w:r>
        <w:rPr>
          <w:rFonts w:asciiTheme="minorHAnsi" w:hAnsiTheme="minorHAnsi" w:cs="Calibri"/>
          <w:i w:val="0"/>
          <w:color w:val="auto"/>
          <w:sz w:val="22"/>
          <w:szCs w:val="22"/>
        </w:rPr>
        <w:t xml:space="preserve"> to be chosen. An average static pressure of 5“ Wg was assumed because process fans vary from exhaust fans that can have less than 1“ Wg static pressure to large dust collection fans that can have around 10“ Wg static pressure. </w:t>
      </w:r>
      <w:r>
        <w:rPr>
          <w:rFonts w:asciiTheme="minorHAnsi" w:hAnsiTheme="minorHAnsi"/>
          <w:i w:val="0"/>
          <w:color w:val="auto"/>
          <w:sz w:val="22"/>
          <w:szCs w:val="22"/>
        </w:rPr>
        <w:t xml:space="preserve"> Brake horse</w:t>
      </w:r>
      <w:r w:rsidR="00783A3A">
        <w:rPr>
          <w:rFonts w:asciiTheme="minorHAnsi" w:hAnsiTheme="minorHAnsi"/>
          <w:i w:val="0"/>
          <w:color w:val="auto"/>
          <w:sz w:val="22"/>
          <w:szCs w:val="22"/>
        </w:rPr>
        <w:t>power (BHP</w:t>
      </w:r>
      <w:r>
        <w:rPr>
          <w:rFonts w:asciiTheme="minorHAnsi" w:hAnsiTheme="minorHAnsi"/>
          <w:i w:val="0"/>
          <w:color w:val="auto"/>
          <w:sz w:val="22"/>
          <w:szCs w:val="22"/>
        </w:rPr>
        <w:t>) is equal to flow times pressure. For each run, BHP is held constant because energ</w:t>
      </w:r>
      <w:r w:rsidR="00783A3A">
        <w:rPr>
          <w:rFonts w:asciiTheme="minorHAnsi" w:hAnsiTheme="minorHAnsi"/>
          <w:i w:val="0"/>
          <w:color w:val="auto"/>
          <w:sz w:val="22"/>
          <w:szCs w:val="22"/>
        </w:rPr>
        <w:t>y savings are normalized over hp</w:t>
      </w:r>
      <w:r>
        <w:rPr>
          <w:rFonts w:asciiTheme="minorHAnsi" w:hAnsiTheme="minorHAnsi"/>
          <w:i w:val="0"/>
          <w:color w:val="auto"/>
          <w:sz w:val="22"/>
          <w:szCs w:val="22"/>
        </w:rPr>
        <w:t>. Energy savings are not affected by the chosen pressure since the CFM was adjusted in the simulations to keep the BHP constant.</w:t>
      </w:r>
      <w:r>
        <w:rPr>
          <w:rFonts w:asciiTheme="minorHAnsi" w:hAnsiTheme="minorHAnsi"/>
          <w:i w:val="0"/>
          <w:sz w:val="22"/>
          <w:szCs w:val="22"/>
        </w:rPr>
        <w:t xml:space="preserve"> </w:t>
      </w:r>
      <w:r>
        <w:rPr>
          <w:rFonts w:asciiTheme="minorHAnsi" w:hAnsiTheme="minorHAnsi" w:cs="Calibri"/>
          <w:i w:val="0"/>
          <w:color w:val="auto"/>
          <w:sz w:val="22"/>
          <w:szCs w:val="22"/>
        </w:rPr>
        <w:t xml:space="preserve">CFM was determined using specification sheets from a fan manufacturer </w:t>
      </w:r>
      <w:r w:rsidR="003743FF">
        <w:rPr>
          <w:rFonts w:asciiTheme="minorHAnsi" w:hAnsiTheme="minorHAnsi" w:cs="Calibri"/>
          <w:i w:val="0"/>
          <w:color w:val="auto"/>
          <w:sz w:val="22"/>
          <w:szCs w:val="22"/>
        </w:rPr>
        <w:t>(see Attachment 5)</w:t>
      </w:r>
      <w:r>
        <w:rPr>
          <w:rFonts w:asciiTheme="minorHAnsi" w:hAnsiTheme="minorHAnsi" w:cs="Calibri"/>
          <w:i w:val="0"/>
          <w:color w:val="auto"/>
          <w:sz w:val="22"/>
          <w:szCs w:val="22"/>
        </w:rPr>
        <w:t xml:space="preserve">. For each motor, the </w:t>
      </w:r>
      <w:r w:rsidR="00783A3A">
        <w:rPr>
          <w:rFonts w:asciiTheme="minorHAnsi" w:hAnsiTheme="minorHAnsi" w:cs="Calibri"/>
          <w:i w:val="0"/>
          <w:color w:val="auto"/>
          <w:sz w:val="22"/>
          <w:szCs w:val="22"/>
        </w:rPr>
        <w:t>BHP</w:t>
      </w:r>
      <w:r>
        <w:rPr>
          <w:rFonts w:asciiTheme="minorHAnsi" w:hAnsiTheme="minorHAnsi" w:cs="Calibri"/>
          <w:i w:val="0"/>
          <w:color w:val="auto"/>
          <w:sz w:val="22"/>
          <w:szCs w:val="22"/>
        </w:rPr>
        <w:t xml:space="preserve"> was calculated for each of the eleven baseline fan systems, and a fan was selected that best met both the BHP and the 5“ Wg static pressure </w:t>
      </w:r>
      <w:r w:rsidR="003743FF">
        <w:rPr>
          <w:rFonts w:asciiTheme="minorHAnsi" w:hAnsiTheme="minorHAnsi" w:cs="Calibri"/>
          <w:i w:val="0"/>
          <w:color w:val="auto"/>
          <w:sz w:val="22"/>
          <w:szCs w:val="22"/>
        </w:rPr>
        <w:t>assumption (see Attachment 6)</w:t>
      </w:r>
      <w:r>
        <w:rPr>
          <w:rFonts w:asciiTheme="minorHAnsi" w:hAnsiTheme="minorHAnsi" w:cs="Calibri"/>
          <w:i w:val="0"/>
          <w:color w:val="auto"/>
          <w:sz w:val="22"/>
          <w:szCs w:val="22"/>
        </w:rPr>
        <w:t>. The appropriate CFM was then identified from the specification sheets and used for the maximum and design flow software inputs. CFM selected will be consistent across various manufactures since the specific fan type being modeled was chosen because it is the typical type used for process fan. As such the fans efficiency and operating points will not vary significantly across different manufacture</w:t>
      </w:r>
      <w:r w:rsidR="00783A3A">
        <w:rPr>
          <w:rFonts w:asciiTheme="minorHAnsi" w:hAnsiTheme="minorHAnsi" w:cs="Calibri"/>
          <w:i w:val="0"/>
          <w:color w:val="auto"/>
          <w:sz w:val="22"/>
          <w:szCs w:val="22"/>
        </w:rPr>
        <w:t>r</w:t>
      </w:r>
      <w:r>
        <w:rPr>
          <w:rFonts w:asciiTheme="minorHAnsi" w:hAnsiTheme="minorHAnsi" w:cs="Calibri"/>
          <w:i w:val="0"/>
          <w:color w:val="auto"/>
          <w:sz w:val="22"/>
          <w:szCs w:val="22"/>
        </w:rPr>
        <w:t xml:space="preserve">s. Based on the specified CFM and pressure, fan efficiency was calculated using the following equation: </w:t>
      </w:r>
    </w:p>
    <w:p w:rsidR="00EE7437" w:rsidRDefault="00EE7437" w:rsidP="00EE7437">
      <w:pPr>
        <w:pStyle w:val="Reminder"/>
        <w:jc w:val="center"/>
        <w:rPr>
          <w:rFonts w:asciiTheme="minorHAnsi" w:hAnsiTheme="minorHAnsi" w:cs="Calibri"/>
          <w:i w:val="0"/>
          <w:color w:val="auto"/>
          <w:sz w:val="22"/>
          <w:szCs w:val="22"/>
        </w:rPr>
      </w:pPr>
    </w:p>
    <w:p w:rsidR="00EE7437" w:rsidRDefault="00EE7437" w:rsidP="00EE7437">
      <w:pPr>
        <w:pStyle w:val="Reminder"/>
        <w:jc w:val="center"/>
        <w:rPr>
          <w:rFonts w:asciiTheme="minorHAnsi" w:hAnsiTheme="minorHAnsi" w:cs="Calibri"/>
          <w:i w:val="0"/>
          <w:color w:val="auto"/>
          <w:sz w:val="22"/>
          <w:szCs w:val="22"/>
        </w:rPr>
      </w:pPr>
      <w:r>
        <w:rPr>
          <w:rFonts w:asciiTheme="minorHAnsi" w:eastAsia="Calibri" w:hAnsiTheme="minorHAnsi" w:cs="Calibri"/>
          <w:i w:val="0"/>
          <w:color w:val="auto"/>
          <w:position w:val="-24"/>
          <w:sz w:val="22"/>
          <w:szCs w:val="22"/>
        </w:rPr>
        <w:object w:dxaOrig="574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3pt;height:30.55pt" o:ole="">
            <v:imagedata r:id="rId16" o:title=""/>
          </v:shape>
          <o:OLEObject Type="Embed" ProgID="Equation.3" ShapeID="_x0000_i1025" DrawAspect="Content" ObjectID="_1462770514" r:id="rId17"/>
        </w:object>
      </w:r>
    </w:p>
    <w:p w:rsidR="00EE7437" w:rsidRDefault="00EE7437" w:rsidP="00EE7437">
      <w:pPr>
        <w:pStyle w:val="Reminder"/>
        <w:rPr>
          <w:rFonts w:asciiTheme="minorHAnsi" w:hAnsiTheme="minorHAnsi" w:cs="Calibri"/>
          <w:i w:val="0"/>
          <w:color w:val="auto"/>
          <w:sz w:val="22"/>
          <w:szCs w:val="22"/>
        </w:rPr>
      </w:pPr>
    </w:p>
    <w:p w:rsidR="00EE7437" w:rsidRDefault="00EE7437" w:rsidP="00EE7437">
      <w:pPr>
        <w:pStyle w:val="Reminder"/>
        <w:rPr>
          <w:rFonts w:asciiTheme="minorHAnsi" w:hAnsiTheme="minorHAnsi" w:cs="Calibri"/>
          <w:i w:val="0"/>
          <w:color w:val="auto"/>
          <w:sz w:val="22"/>
          <w:szCs w:val="22"/>
        </w:rPr>
      </w:pPr>
      <w:r>
        <w:rPr>
          <w:rFonts w:asciiTheme="minorHAnsi" w:hAnsiTheme="minorHAnsi" w:cs="Calibri"/>
          <w:i w:val="0"/>
          <w:color w:val="auto"/>
          <w:sz w:val="22"/>
          <w:szCs w:val="22"/>
        </w:rPr>
        <w:t>S</w:t>
      </w:r>
      <w:r w:rsidR="00783A3A">
        <w:rPr>
          <w:rFonts w:asciiTheme="minorHAnsi" w:hAnsiTheme="minorHAnsi" w:cs="Calibri"/>
          <w:i w:val="0"/>
          <w:color w:val="auto"/>
          <w:sz w:val="22"/>
          <w:szCs w:val="22"/>
        </w:rPr>
        <w:t>ince the CFM changed based on hp</w:t>
      </w:r>
      <w:r>
        <w:rPr>
          <w:rFonts w:asciiTheme="minorHAnsi" w:hAnsiTheme="minorHAnsi" w:cs="Calibri"/>
          <w:i w:val="0"/>
          <w:color w:val="auto"/>
          <w:sz w:val="22"/>
          <w:szCs w:val="22"/>
        </w:rPr>
        <w:t>, the fan efficiency varied with each run. The motor efficiency was set to the minimum efficien</w:t>
      </w:r>
      <w:r w:rsidR="003743FF">
        <w:rPr>
          <w:rFonts w:asciiTheme="minorHAnsi" w:hAnsiTheme="minorHAnsi" w:cs="Calibri"/>
          <w:i w:val="0"/>
          <w:color w:val="auto"/>
          <w:sz w:val="22"/>
          <w:szCs w:val="22"/>
        </w:rPr>
        <w:t>cy allowed per NEMA standards [357</w:t>
      </w:r>
      <w:r>
        <w:rPr>
          <w:rFonts w:asciiTheme="minorHAnsi" w:hAnsiTheme="minorHAnsi" w:cs="Calibri"/>
          <w:i w:val="0"/>
          <w:color w:val="auto"/>
          <w:sz w:val="22"/>
          <w:szCs w:val="22"/>
        </w:rPr>
        <w:t>]. Nominal motor and fan revolutions per minute (RPM) were chosen to be 1800</w:t>
      </w:r>
      <w:r w:rsidR="006E484C">
        <w:rPr>
          <w:rFonts w:asciiTheme="minorHAnsi" w:hAnsiTheme="minorHAnsi" w:cs="Calibri"/>
          <w:i w:val="0"/>
          <w:color w:val="auto"/>
          <w:sz w:val="22"/>
          <w:szCs w:val="22"/>
        </w:rPr>
        <w:t xml:space="preserve"> </w:t>
      </w:r>
      <w:r w:rsidR="003B2925">
        <w:rPr>
          <w:rFonts w:asciiTheme="minorHAnsi" w:hAnsiTheme="minorHAnsi" w:cs="Calibri"/>
          <w:i w:val="0"/>
          <w:color w:val="auto"/>
          <w:sz w:val="22"/>
          <w:szCs w:val="22"/>
        </w:rPr>
        <w:t xml:space="preserve">since most </w:t>
      </w:r>
      <w:r w:rsidR="006E484C">
        <w:rPr>
          <w:rFonts w:asciiTheme="minorHAnsi" w:hAnsiTheme="minorHAnsi" w:cs="Calibri"/>
          <w:i w:val="0"/>
          <w:color w:val="auto"/>
          <w:sz w:val="22"/>
          <w:szCs w:val="22"/>
        </w:rPr>
        <w:t xml:space="preserve">motor </w:t>
      </w:r>
      <w:r w:rsidR="003B2925">
        <w:rPr>
          <w:rFonts w:asciiTheme="minorHAnsi" w:hAnsiTheme="minorHAnsi" w:cs="Calibri"/>
          <w:i w:val="0"/>
          <w:color w:val="auto"/>
          <w:sz w:val="22"/>
          <w:szCs w:val="22"/>
        </w:rPr>
        <w:t xml:space="preserve">process applications are expected to </w:t>
      </w:r>
      <w:r w:rsidR="006E484C">
        <w:rPr>
          <w:rFonts w:asciiTheme="minorHAnsi" w:hAnsiTheme="minorHAnsi" w:cs="Calibri"/>
          <w:i w:val="0"/>
          <w:color w:val="auto"/>
          <w:sz w:val="22"/>
          <w:szCs w:val="22"/>
        </w:rPr>
        <w:t>utilize</w:t>
      </w:r>
      <w:r w:rsidR="003B2925">
        <w:rPr>
          <w:rFonts w:asciiTheme="minorHAnsi" w:hAnsiTheme="minorHAnsi" w:cs="Calibri"/>
          <w:i w:val="0"/>
          <w:color w:val="auto"/>
          <w:sz w:val="22"/>
          <w:szCs w:val="22"/>
        </w:rPr>
        <w:t xml:space="preserve"> this RPM</w:t>
      </w:r>
      <w:r>
        <w:rPr>
          <w:rFonts w:asciiTheme="minorHAnsi" w:hAnsiTheme="minorHAnsi" w:cs="Calibri"/>
          <w:i w:val="0"/>
          <w:color w:val="auto"/>
          <w:sz w:val="22"/>
          <w:szCs w:val="22"/>
        </w:rPr>
        <w:t xml:space="preserve">. Initially, the software model was run at different RPMs; however, the results were consistent. As such, 1800 RPM was kept as a constant input. The tool was then run at an assumed 70% average flow. </w:t>
      </w:r>
      <w:r>
        <w:rPr>
          <w:rFonts w:asciiTheme="minorHAnsi" w:hAnsiTheme="minorHAnsi"/>
          <w:i w:val="0"/>
          <w:color w:val="auto"/>
          <w:sz w:val="22"/>
          <w:szCs w:val="22"/>
        </w:rPr>
        <w:t xml:space="preserve">70% loading was chosen as the midpoint of a range between which savings would be minimal at the high end and the motor would be considered oversized at the low end. </w:t>
      </w:r>
      <w:r>
        <w:rPr>
          <w:rFonts w:asciiTheme="minorHAnsi" w:hAnsiTheme="minorHAnsi" w:cs="Calibri"/>
          <w:i w:val="0"/>
          <w:color w:val="auto"/>
          <w:sz w:val="22"/>
          <w:szCs w:val="22"/>
        </w:rPr>
        <w:t>The Fan Systems Upgrade tool defaults for VFD full load efficiency and minimum operating speeds were used for the proposed system. Operating ho</w:t>
      </w:r>
      <w:r w:rsidR="00783A3A">
        <w:rPr>
          <w:rFonts w:asciiTheme="minorHAnsi" w:hAnsiTheme="minorHAnsi" w:cs="Calibri"/>
          <w:i w:val="0"/>
          <w:color w:val="auto"/>
          <w:sz w:val="22"/>
          <w:szCs w:val="22"/>
        </w:rPr>
        <w:t>urs were determined using DEER14</w:t>
      </w:r>
      <w:r>
        <w:rPr>
          <w:rFonts w:asciiTheme="minorHAnsi" w:hAnsiTheme="minorHAnsi" w:cs="Calibri"/>
          <w:i w:val="0"/>
          <w:color w:val="auto"/>
          <w:sz w:val="22"/>
          <w:szCs w:val="22"/>
        </w:rPr>
        <w:t xml:space="preserve"> for</w:t>
      </w:r>
      <w:r w:rsidR="00783A3A">
        <w:rPr>
          <w:rFonts w:asciiTheme="minorHAnsi" w:hAnsiTheme="minorHAnsi" w:cs="Calibri"/>
          <w:i w:val="0"/>
          <w:color w:val="auto"/>
          <w:sz w:val="22"/>
          <w:szCs w:val="22"/>
        </w:rPr>
        <w:t xml:space="preserve"> the</w:t>
      </w:r>
      <w:r w:rsidR="00343933">
        <w:rPr>
          <w:rFonts w:asciiTheme="minorHAnsi" w:hAnsiTheme="minorHAnsi" w:cs="Calibri"/>
          <w:i w:val="0"/>
          <w:color w:val="auto"/>
          <w:sz w:val="22"/>
          <w:szCs w:val="22"/>
        </w:rPr>
        <w:t xml:space="preserve"> Industrial building type, 3375 hours/year</w:t>
      </w:r>
      <w:r w:rsidR="00173488">
        <w:rPr>
          <w:rFonts w:asciiTheme="minorHAnsi" w:hAnsiTheme="minorHAnsi" w:cs="Calibri"/>
          <w:i w:val="0"/>
          <w:color w:val="auto"/>
          <w:sz w:val="22"/>
          <w:szCs w:val="22"/>
        </w:rPr>
        <w:t>, and the Agricultural building type, 3094 hours/year</w:t>
      </w:r>
      <w:r w:rsidR="00107334">
        <w:rPr>
          <w:rFonts w:asciiTheme="minorHAnsi" w:hAnsiTheme="minorHAnsi" w:cs="Calibri"/>
          <w:i w:val="0"/>
          <w:color w:val="auto"/>
          <w:sz w:val="22"/>
          <w:szCs w:val="22"/>
        </w:rPr>
        <w:t>.</w:t>
      </w:r>
    </w:p>
    <w:p w:rsidR="00EE7437" w:rsidRDefault="00EE7437" w:rsidP="00EE7437">
      <w:pPr>
        <w:pStyle w:val="Reminder"/>
        <w:rPr>
          <w:rFonts w:asciiTheme="minorHAnsi" w:hAnsiTheme="minorHAnsi" w:cs="Calibri"/>
          <w:i w:val="0"/>
          <w:color w:val="auto"/>
          <w:sz w:val="22"/>
          <w:szCs w:val="22"/>
        </w:rPr>
      </w:pPr>
    </w:p>
    <w:p w:rsidR="00EE7437" w:rsidRDefault="00EE7437" w:rsidP="00EE7437">
      <w:pPr>
        <w:pStyle w:val="Reminder"/>
        <w:rPr>
          <w:rFonts w:asciiTheme="minorHAnsi" w:hAnsiTheme="minorHAnsi" w:cs="Calibri"/>
          <w:i w:val="0"/>
          <w:color w:val="auto"/>
          <w:sz w:val="22"/>
          <w:szCs w:val="22"/>
        </w:rPr>
      </w:pPr>
      <w:r>
        <w:rPr>
          <w:rFonts w:asciiTheme="minorHAnsi" w:hAnsiTheme="minorHAnsi" w:cs="Calibri"/>
          <w:i w:val="0"/>
          <w:color w:val="auto"/>
          <w:sz w:val="22"/>
          <w:szCs w:val="22"/>
        </w:rPr>
        <w:t>For each of the software runs, the following inputs were kept constant:</w:t>
      </w:r>
    </w:p>
    <w:p w:rsidR="00EE7437" w:rsidRDefault="00EE7437" w:rsidP="00EE7437">
      <w:pPr>
        <w:pStyle w:val="Reminder"/>
        <w:rPr>
          <w:rFonts w:asciiTheme="minorHAnsi" w:hAnsiTheme="minorHAnsi" w:cs="Calibri"/>
          <w:i w:val="0"/>
          <w:color w:val="auto"/>
          <w:sz w:val="22"/>
          <w:szCs w:val="22"/>
        </w:rPr>
      </w:pP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Fan System Type: Centrifugal</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Number of Fans: 1</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Location/City: Los Angeles CO (Los Angeles)</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Exhaust Fan? : No</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Estimate Ambient Air Temperature? : No</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 xml:space="preserve">Inlet Air Temperature: 85 </w:t>
      </w:r>
      <w:r>
        <w:rPr>
          <w:rFonts w:asciiTheme="minorHAnsi" w:hAnsiTheme="minorHAnsi" w:cs="Calibri"/>
          <w:i w:val="0"/>
          <w:color w:val="auto"/>
          <w:sz w:val="22"/>
          <w:szCs w:val="22"/>
          <w:vertAlign w:val="superscript"/>
        </w:rPr>
        <w:t>o</w:t>
      </w:r>
      <w:r>
        <w:rPr>
          <w:rFonts w:asciiTheme="minorHAnsi" w:hAnsiTheme="minorHAnsi" w:cs="Calibri"/>
          <w:i w:val="0"/>
          <w:color w:val="auto"/>
          <w:sz w:val="22"/>
          <w:szCs w:val="22"/>
        </w:rPr>
        <w:t>F</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Sys. Total Static Press. @ Max Flow: 5.0 “Wg</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Fan Type: Centrifugal Airfoil DIDW</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Control Type: Centrifugal On/OFF</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Drive Type: Std. V-Belt Drive</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Fan Speed: 1800 rpm</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Total Static Pressure: 5“ Wg</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Speed (RPM): 1800</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lastRenderedPageBreak/>
        <w:t>Service Factor: 1.15</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FL Speed: 1790</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Enclosure: ODP</w:t>
      </w:r>
    </w:p>
    <w:p w:rsidR="00EE7437" w:rsidRDefault="00107334"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Annual Operating Hours: 3372</w:t>
      </w:r>
      <w:r w:rsidR="008615BE">
        <w:rPr>
          <w:rFonts w:asciiTheme="minorHAnsi" w:hAnsiTheme="minorHAnsi" w:cs="Calibri"/>
          <w:i w:val="0"/>
          <w:color w:val="auto"/>
          <w:sz w:val="22"/>
          <w:szCs w:val="22"/>
        </w:rPr>
        <w:t xml:space="preserve"> (the previous work paper revision used DEER11 operating hours of 3372 hours/ye</w:t>
      </w:r>
      <w:r w:rsidR="00E97477">
        <w:rPr>
          <w:rFonts w:asciiTheme="minorHAnsi" w:hAnsiTheme="minorHAnsi" w:cs="Calibri"/>
          <w:i w:val="0"/>
          <w:color w:val="auto"/>
          <w:sz w:val="22"/>
          <w:szCs w:val="22"/>
        </w:rPr>
        <w:t>ar, so the savings were scaled f</w:t>
      </w:r>
      <w:r w:rsidR="008615BE">
        <w:rPr>
          <w:rFonts w:asciiTheme="minorHAnsi" w:hAnsiTheme="minorHAnsi" w:cs="Calibri"/>
          <w:i w:val="0"/>
          <w:color w:val="auto"/>
          <w:sz w:val="22"/>
          <w:szCs w:val="22"/>
        </w:rPr>
        <w:t>o</w:t>
      </w:r>
      <w:r w:rsidR="00E97477">
        <w:rPr>
          <w:rFonts w:asciiTheme="minorHAnsi" w:hAnsiTheme="minorHAnsi" w:cs="Calibri"/>
          <w:i w:val="0"/>
          <w:color w:val="auto"/>
          <w:sz w:val="22"/>
          <w:szCs w:val="22"/>
        </w:rPr>
        <w:t>r the</w:t>
      </w:r>
      <w:r w:rsidR="008615BE">
        <w:rPr>
          <w:rFonts w:asciiTheme="minorHAnsi" w:hAnsiTheme="minorHAnsi" w:cs="Calibri"/>
          <w:i w:val="0"/>
          <w:color w:val="auto"/>
          <w:sz w:val="22"/>
          <w:szCs w:val="22"/>
        </w:rPr>
        <w:t xml:space="preserve"> DEER14</w:t>
      </w:r>
      <w:r w:rsidR="00E97477">
        <w:rPr>
          <w:rFonts w:asciiTheme="minorHAnsi" w:hAnsiTheme="minorHAnsi" w:cs="Calibri"/>
          <w:i w:val="0"/>
          <w:color w:val="auto"/>
          <w:sz w:val="22"/>
          <w:szCs w:val="22"/>
        </w:rPr>
        <w:t xml:space="preserve"> Industrial building type by a factor of 3375/3372, and the Agricultural building type by a factor of 3094/3372</w:t>
      </w:r>
      <w:r w:rsidR="008615BE">
        <w:rPr>
          <w:rFonts w:asciiTheme="minorHAnsi" w:hAnsiTheme="minorHAnsi" w:cs="Calibri"/>
          <w:i w:val="0"/>
          <w:color w:val="auto"/>
          <w:sz w:val="22"/>
          <w:szCs w:val="22"/>
        </w:rPr>
        <w:t>)</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VFD Full Load Efficiency: 96%</w:t>
      </w:r>
    </w:p>
    <w:p w:rsidR="00EE7437" w:rsidRDefault="00EE7437" w:rsidP="00EE7437">
      <w:pPr>
        <w:pStyle w:val="Reminder"/>
        <w:numPr>
          <w:ilvl w:val="0"/>
          <w:numId w:val="19"/>
        </w:numPr>
        <w:rPr>
          <w:rFonts w:asciiTheme="minorHAnsi" w:hAnsiTheme="minorHAnsi" w:cs="Calibri"/>
          <w:i w:val="0"/>
          <w:color w:val="auto"/>
          <w:sz w:val="22"/>
          <w:szCs w:val="22"/>
        </w:rPr>
      </w:pPr>
      <w:r>
        <w:rPr>
          <w:rFonts w:asciiTheme="minorHAnsi" w:hAnsiTheme="minorHAnsi" w:cs="Calibri"/>
          <w:i w:val="0"/>
          <w:color w:val="auto"/>
          <w:sz w:val="22"/>
          <w:szCs w:val="22"/>
        </w:rPr>
        <w:t>VFD Minimum Operating Speed: 50%</w:t>
      </w:r>
    </w:p>
    <w:p w:rsidR="00EE7437" w:rsidRDefault="00EE7437" w:rsidP="00EE7437">
      <w:pPr>
        <w:pStyle w:val="Reminder"/>
        <w:rPr>
          <w:rFonts w:asciiTheme="minorHAnsi" w:hAnsiTheme="minorHAnsi" w:cs="Calibri"/>
          <w:i w:val="0"/>
          <w:color w:val="auto"/>
          <w:sz w:val="22"/>
          <w:szCs w:val="22"/>
        </w:rPr>
      </w:pPr>
    </w:p>
    <w:p w:rsidR="008E3459" w:rsidRPr="008E3459" w:rsidRDefault="00EE7437" w:rsidP="008E3459">
      <w:pPr>
        <w:rPr>
          <w:rFonts w:asciiTheme="minorHAnsi" w:hAnsiTheme="minorHAnsi"/>
          <w:sz w:val="22"/>
          <w:szCs w:val="22"/>
        </w:rPr>
      </w:pPr>
      <w:r>
        <w:rPr>
          <w:rFonts w:asciiTheme="minorHAnsi" w:hAnsiTheme="minorHAnsi" w:cs="Calibri"/>
          <w:sz w:val="22"/>
          <w:szCs w:val="22"/>
        </w:rPr>
        <w:t xml:space="preserve">The Fan tool </w:t>
      </w:r>
      <w:r w:rsidR="00303635">
        <w:rPr>
          <w:rFonts w:asciiTheme="minorHAnsi" w:hAnsiTheme="minorHAnsi"/>
          <w:sz w:val="22"/>
          <w:szCs w:val="22"/>
        </w:rPr>
        <w:t>yielded</w:t>
      </w:r>
      <w:r w:rsidR="00303635" w:rsidRPr="008E3459">
        <w:rPr>
          <w:rFonts w:asciiTheme="minorHAnsi" w:hAnsiTheme="minorHAnsi"/>
          <w:sz w:val="22"/>
          <w:szCs w:val="22"/>
        </w:rPr>
        <w:t xml:space="preserve"> kWh/year</w:t>
      </w:r>
      <w:r w:rsidR="00303635">
        <w:rPr>
          <w:rFonts w:asciiTheme="minorHAnsi" w:hAnsiTheme="minorHAnsi"/>
          <w:sz w:val="22"/>
          <w:szCs w:val="22"/>
        </w:rPr>
        <w:t xml:space="preserve"> energy savings</w:t>
      </w:r>
      <w:r w:rsidR="00303635" w:rsidRPr="008E3459">
        <w:rPr>
          <w:rFonts w:asciiTheme="minorHAnsi" w:hAnsiTheme="minorHAnsi"/>
          <w:sz w:val="22"/>
          <w:szCs w:val="22"/>
        </w:rPr>
        <w:t xml:space="preserve"> and kW peak demand</w:t>
      </w:r>
      <w:r w:rsidR="00303635">
        <w:rPr>
          <w:rFonts w:asciiTheme="minorHAnsi" w:hAnsiTheme="minorHAnsi"/>
          <w:sz w:val="22"/>
          <w:szCs w:val="22"/>
        </w:rPr>
        <w:t>, which were divided by hp ratings to obtain specific energy savings (kWh/hp/year and kW/hp) and then averaged.</w:t>
      </w:r>
      <w:r w:rsidR="006F4336">
        <w:rPr>
          <w:rFonts w:asciiTheme="minorHAnsi" w:hAnsiTheme="minorHAnsi"/>
          <w:sz w:val="22"/>
          <w:szCs w:val="22"/>
        </w:rPr>
        <w:t xml:space="preserve"> </w:t>
      </w:r>
      <w:r w:rsidR="00AA0C37">
        <w:rPr>
          <w:rFonts w:asciiTheme="minorHAnsi" w:hAnsiTheme="minorHAnsi"/>
          <w:sz w:val="22"/>
          <w:szCs w:val="22"/>
        </w:rPr>
        <w:fldChar w:fldCharType="begin"/>
      </w:r>
      <w:r w:rsidR="00AA0C37">
        <w:rPr>
          <w:rFonts w:asciiTheme="minorHAnsi" w:hAnsiTheme="minorHAnsi"/>
          <w:sz w:val="22"/>
          <w:szCs w:val="22"/>
        </w:rPr>
        <w:instrText xml:space="preserve"> REF _Ref380581404 \h </w:instrText>
      </w:r>
      <w:r w:rsidR="00AA0C37">
        <w:rPr>
          <w:rFonts w:asciiTheme="minorHAnsi" w:hAnsiTheme="minorHAnsi"/>
          <w:sz w:val="22"/>
          <w:szCs w:val="22"/>
        </w:rPr>
      </w:r>
      <w:r w:rsidR="00AA0C37">
        <w:rPr>
          <w:rFonts w:asciiTheme="minorHAnsi" w:hAnsiTheme="minorHAnsi"/>
          <w:sz w:val="22"/>
          <w:szCs w:val="22"/>
        </w:rPr>
        <w:fldChar w:fldCharType="separate"/>
      </w:r>
      <w:r w:rsidR="00CF6DDC" w:rsidRPr="008E3459">
        <w:rPr>
          <w:rFonts w:asciiTheme="minorHAnsi" w:hAnsiTheme="minorHAnsi" w:cs="Calibri"/>
          <w:sz w:val="22"/>
          <w:szCs w:val="22"/>
        </w:rPr>
        <w:t xml:space="preserve">Table </w:t>
      </w:r>
      <w:r w:rsidR="00CF6DDC">
        <w:rPr>
          <w:rFonts w:asciiTheme="minorHAnsi" w:hAnsiTheme="minorHAnsi" w:cs="Calibri"/>
          <w:noProof/>
          <w:sz w:val="22"/>
          <w:szCs w:val="22"/>
        </w:rPr>
        <w:t>8</w:t>
      </w:r>
      <w:r w:rsidR="00AA0C37">
        <w:rPr>
          <w:rFonts w:asciiTheme="minorHAnsi" w:hAnsiTheme="minorHAnsi"/>
          <w:sz w:val="22"/>
          <w:szCs w:val="22"/>
        </w:rPr>
        <w:fldChar w:fldCharType="end"/>
      </w:r>
      <w:r w:rsidR="00AA0C37">
        <w:rPr>
          <w:rFonts w:asciiTheme="minorHAnsi" w:hAnsiTheme="minorHAnsi"/>
          <w:sz w:val="22"/>
          <w:szCs w:val="22"/>
        </w:rPr>
        <w:t xml:space="preserve"> </w:t>
      </w:r>
      <w:r w:rsidR="008E3459" w:rsidRPr="008E3459">
        <w:rPr>
          <w:rFonts w:asciiTheme="minorHAnsi" w:hAnsiTheme="minorHAnsi"/>
          <w:sz w:val="22"/>
          <w:szCs w:val="22"/>
        </w:rPr>
        <w:t xml:space="preserve">shows the energy savings from the measures covered in this work paper.  </w:t>
      </w:r>
      <w:bookmarkStart w:id="16" w:name="_Ref221607939"/>
      <w:bookmarkStart w:id="17" w:name="_Toc221616648"/>
    </w:p>
    <w:bookmarkEnd w:id="16"/>
    <w:bookmarkEnd w:id="17"/>
    <w:p w:rsidR="008E3459" w:rsidRPr="008E3459" w:rsidRDefault="008E3459" w:rsidP="008E3459">
      <w:pPr>
        <w:pStyle w:val="Caption"/>
        <w:jc w:val="center"/>
        <w:rPr>
          <w:rFonts w:asciiTheme="minorHAnsi" w:hAnsiTheme="minorHAnsi"/>
          <w:sz w:val="22"/>
          <w:szCs w:val="22"/>
        </w:rPr>
      </w:pPr>
    </w:p>
    <w:p w:rsidR="008E3459" w:rsidRPr="008E3459" w:rsidRDefault="008E3459" w:rsidP="008E3459">
      <w:pPr>
        <w:pStyle w:val="Caption"/>
        <w:keepNext/>
        <w:jc w:val="center"/>
        <w:rPr>
          <w:rFonts w:asciiTheme="minorHAnsi" w:hAnsiTheme="minorHAnsi"/>
          <w:sz w:val="22"/>
          <w:szCs w:val="22"/>
        </w:rPr>
      </w:pPr>
      <w:bookmarkStart w:id="18" w:name="_Ref380581404"/>
      <w:r w:rsidRPr="008E3459">
        <w:rPr>
          <w:rFonts w:asciiTheme="minorHAnsi" w:hAnsiTheme="minorHAnsi" w:cs="Calibri"/>
          <w:sz w:val="22"/>
          <w:szCs w:val="22"/>
        </w:rPr>
        <w:t xml:space="preserve">Table </w:t>
      </w:r>
      <w:r w:rsidRPr="008E3459">
        <w:rPr>
          <w:rFonts w:asciiTheme="minorHAnsi" w:hAnsiTheme="minorHAnsi" w:cs="Calibri"/>
          <w:sz w:val="22"/>
          <w:szCs w:val="22"/>
        </w:rPr>
        <w:fldChar w:fldCharType="begin"/>
      </w:r>
      <w:r w:rsidRPr="008E3459">
        <w:rPr>
          <w:rFonts w:asciiTheme="minorHAnsi" w:hAnsiTheme="minorHAnsi" w:cs="Calibri"/>
          <w:sz w:val="22"/>
          <w:szCs w:val="22"/>
        </w:rPr>
        <w:instrText xml:space="preserve"> SEQ Table \* ARABIC </w:instrText>
      </w:r>
      <w:r w:rsidRPr="008E3459">
        <w:rPr>
          <w:rFonts w:asciiTheme="minorHAnsi" w:hAnsiTheme="minorHAnsi" w:cs="Calibri"/>
          <w:sz w:val="22"/>
          <w:szCs w:val="22"/>
        </w:rPr>
        <w:fldChar w:fldCharType="separate"/>
      </w:r>
      <w:r w:rsidR="00CF6DDC">
        <w:rPr>
          <w:rFonts w:asciiTheme="minorHAnsi" w:hAnsiTheme="minorHAnsi" w:cs="Calibri"/>
          <w:noProof/>
          <w:sz w:val="22"/>
          <w:szCs w:val="22"/>
        </w:rPr>
        <w:t>8</w:t>
      </w:r>
      <w:r w:rsidRPr="008E3459">
        <w:rPr>
          <w:rFonts w:asciiTheme="minorHAnsi" w:hAnsiTheme="minorHAnsi" w:cs="Calibri"/>
          <w:sz w:val="22"/>
          <w:szCs w:val="22"/>
        </w:rPr>
        <w:fldChar w:fldCharType="end"/>
      </w:r>
      <w:bookmarkEnd w:id="18"/>
      <w:r w:rsidR="001B4531">
        <w:rPr>
          <w:rFonts w:asciiTheme="minorHAnsi" w:hAnsiTheme="minorHAnsi" w:cs="Calibri"/>
          <w:sz w:val="22"/>
          <w:szCs w:val="22"/>
        </w:rPr>
        <w:t xml:space="preserve"> </w:t>
      </w:r>
      <w:r w:rsidRPr="008E3459">
        <w:rPr>
          <w:rFonts w:asciiTheme="minorHAnsi" w:hAnsiTheme="minorHAnsi"/>
          <w:sz w:val="22"/>
          <w:szCs w:val="22"/>
        </w:rPr>
        <w:t>Annual Energy Savings</w:t>
      </w:r>
      <w:r w:rsidR="00CF6DDC">
        <w:rPr>
          <w:rFonts w:asciiTheme="minorHAnsi" w:hAnsiTheme="minorHAnsi"/>
          <w:sz w:val="22"/>
          <w:szCs w:val="22"/>
        </w:rPr>
        <w:t xml:space="preserve"> and Demand Reduction</w:t>
      </w:r>
    </w:p>
    <w:tbl>
      <w:tblPr>
        <w:tblW w:w="9708" w:type="dxa"/>
        <w:jc w:val="center"/>
        <w:tblInd w:w="-66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
      <w:tblGrid>
        <w:gridCol w:w="1546"/>
        <w:gridCol w:w="2162"/>
        <w:gridCol w:w="2434"/>
        <w:gridCol w:w="1946"/>
        <w:gridCol w:w="1620"/>
      </w:tblGrid>
      <w:tr w:rsidR="00E97477" w:rsidRPr="00E97477" w:rsidTr="00E97477">
        <w:trPr>
          <w:trHeight w:val="765"/>
          <w:jc w:val="center"/>
        </w:trPr>
        <w:tc>
          <w:tcPr>
            <w:tcW w:w="1546" w:type="dxa"/>
            <w:shd w:val="clear" w:color="auto" w:fill="D9D9D9" w:themeFill="background1" w:themeFillShade="D9"/>
            <w:vAlign w:val="center"/>
          </w:tcPr>
          <w:p w:rsidR="00E97477" w:rsidRPr="00E97477" w:rsidRDefault="00E97477" w:rsidP="00960E44">
            <w:pPr>
              <w:jc w:val="center"/>
              <w:rPr>
                <w:rFonts w:asciiTheme="minorHAnsi" w:hAnsiTheme="minorHAnsi" w:cs="Calibri"/>
                <w:b/>
                <w:sz w:val="20"/>
                <w:szCs w:val="20"/>
              </w:rPr>
            </w:pPr>
            <w:r w:rsidRPr="00E97477">
              <w:rPr>
                <w:rFonts w:asciiTheme="minorHAnsi" w:hAnsiTheme="minorHAnsi" w:cs="Calibri"/>
                <w:b/>
                <w:sz w:val="20"/>
                <w:szCs w:val="20"/>
              </w:rPr>
              <w:t>Solution Code</w:t>
            </w:r>
          </w:p>
        </w:tc>
        <w:tc>
          <w:tcPr>
            <w:tcW w:w="2162" w:type="dxa"/>
            <w:shd w:val="clear" w:color="auto" w:fill="D9D9D9" w:themeFill="background1" w:themeFillShade="D9"/>
            <w:vAlign w:val="center"/>
          </w:tcPr>
          <w:p w:rsidR="00E97477" w:rsidRPr="00E97477" w:rsidRDefault="00E97477" w:rsidP="00960E44">
            <w:pPr>
              <w:jc w:val="center"/>
              <w:rPr>
                <w:rFonts w:asciiTheme="minorHAnsi" w:hAnsiTheme="minorHAnsi" w:cs="Calibri"/>
                <w:b/>
                <w:sz w:val="20"/>
                <w:szCs w:val="20"/>
              </w:rPr>
            </w:pPr>
            <w:r w:rsidRPr="00E97477">
              <w:rPr>
                <w:rFonts w:asciiTheme="minorHAnsi" w:hAnsiTheme="minorHAnsi" w:cs="Calibri"/>
                <w:b/>
                <w:sz w:val="20"/>
                <w:szCs w:val="20"/>
              </w:rPr>
              <w:t>Measure name</w:t>
            </w:r>
          </w:p>
        </w:tc>
        <w:tc>
          <w:tcPr>
            <w:tcW w:w="2434" w:type="dxa"/>
            <w:shd w:val="clear" w:color="auto" w:fill="D9D9D9" w:themeFill="background1" w:themeFillShade="D9"/>
          </w:tcPr>
          <w:p w:rsidR="00E97477" w:rsidRPr="00E97477" w:rsidRDefault="00E97477" w:rsidP="00960E44">
            <w:pPr>
              <w:jc w:val="center"/>
              <w:rPr>
                <w:rFonts w:asciiTheme="minorHAnsi" w:hAnsiTheme="minorHAnsi"/>
                <w:b/>
                <w:sz w:val="20"/>
                <w:szCs w:val="20"/>
              </w:rPr>
            </w:pPr>
            <w:r w:rsidRPr="00E97477">
              <w:rPr>
                <w:rFonts w:asciiTheme="minorHAnsi" w:hAnsiTheme="minorHAnsi"/>
                <w:b/>
                <w:sz w:val="20"/>
                <w:szCs w:val="20"/>
              </w:rPr>
              <w:t>Building Type</w:t>
            </w:r>
          </w:p>
        </w:tc>
        <w:tc>
          <w:tcPr>
            <w:tcW w:w="1946" w:type="dxa"/>
            <w:shd w:val="clear" w:color="auto" w:fill="D9D9D9" w:themeFill="background1" w:themeFillShade="D9"/>
            <w:vAlign w:val="center"/>
          </w:tcPr>
          <w:p w:rsidR="00E97477" w:rsidRPr="00E97477" w:rsidRDefault="00E97477" w:rsidP="00960E44">
            <w:pPr>
              <w:jc w:val="center"/>
              <w:rPr>
                <w:rFonts w:asciiTheme="minorHAnsi" w:hAnsiTheme="minorHAnsi"/>
                <w:b/>
                <w:sz w:val="20"/>
                <w:szCs w:val="20"/>
              </w:rPr>
            </w:pPr>
            <w:r w:rsidRPr="00E97477">
              <w:rPr>
                <w:rFonts w:asciiTheme="minorHAnsi" w:hAnsiTheme="minorHAnsi"/>
                <w:b/>
                <w:sz w:val="20"/>
                <w:szCs w:val="20"/>
              </w:rPr>
              <w:t>Annual Electric Savings (kWh/HP/year)</w:t>
            </w:r>
          </w:p>
        </w:tc>
        <w:tc>
          <w:tcPr>
            <w:tcW w:w="1620" w:type="dxa"/>
            <w:shd w:val="clear" w:color="auto" w:fill="D9D9D9" w:themeFill="background1" w:themeFillShade="D9"/>
            <w:vAlign w:val="center"/>
          </w:tcPr>
          <w:p w:rsidR="00E97477" w:rsidRPr="00E97477" w:rsidRDefault="00E97477" w:rsidP="00CF6DDC">
            <w:pPr>
              <w:jc w:val="center"/>
              <w:rPr>
                <w:rFonts w:asciiTheme="minorHAnsi" w:hAnsiTheme="minorHAnsi"/>
                <w:b/>
                <w:sz w:val="20"/>
                <w:szCs w:val="20"/>
              </w:rPr>
            </w:pPr>
            <w:r w:rsidRPr="00E97477">
              <w:rPr>
                <w:rFonts w:asciiTheme="minorHAnsi" w:hAnsiTheme="minorHAnsi"/>
                <w:b/>
                <w:sz w:val="20"/>
                <w:szCs w:val="20"/>
              </w:rPr>
              <w:t>Demand Reduction (kW/HP)</w:t>
            </w:r>
          </w:p>
        </w:tc>
      </w:tr>
      <w:tr w:rsidR="00E97477" w:rsidRPr="00E97477" w:rsidTr="00E97477">
        <w:trPr>
          <w:trHeight w:val="255"/>
          <w:jc w:val="center"/>
        </w:trPr>
        <w:tc>
          <w:tcPr>
            <w:tcW w:w="1546" w:type="dxa"/>
            <w:vMerge w:val="restart"/>
            <w:shd w:val="clear" w:color="auto" w:fill="F3F3F3"/>
            <w:vAlign w:val="center"/>
          </w:tcPr>
          <w:p w:rsidR="00E97477" w:rsidRPr="00E97477" w:rsidRDefault="00E97477" w:rsidP="000A6DB2">
            <w:pPr>
              <w:jc w:val="center"/>
              <w:rPr>
                <w:rFonts w:asciiTheme="minorHAnsi" w:hAnsiTheme="minorHAnsi" w:cstheme="minorHAnsi"/>
                <w:sz w:val="20"/>
                <w:szCs w:val="20"/>
              </w:rPr>
            </w:pPr>
            <w:r w:rsidRPr="00E97477">
              <w:rPr>
                <w:rFonts w:asciiTheme="minorHAnsi" w:hAnsiTheme="minorHAnsi" w:cstheme="minorHAnsi"/>
                <w:sz w:val="20"/>
                <w:szCs w:val="20"/>
              </w:rPr>
              <w:t>PR-90127</w:t>
            </w:r>
          </w:p>
        </w:tc>
        <w:tc>
          <w:tcPr>
            <w:tcW w:w="2162" w:type="dxa"/>
            <w:vMerge w:val="restart"/>
            <w:shd w:val="clear" w:color="auto" w:fill="F3F3F3"/>
            <w:vAlign w:val="center"/>
          </w:tcPr>
          <w:p w:rsidR="00E97477" w:rsidRPr="00E97477" w:rsidRDefault="00E97477" w:rsidP="000A6DB2">
            <w:pPr>
              <w:jc w:val="center"/>
              <w:rPr>
                <w:rFonts w:asciiTheme="minorHAnsi" w:hAnsiTheme="minorHAnsi" w:cstheme="minorHAnsi"/>
                <w:sz w:val="20"/>
                <w:szCs w:val="20"/>
              </w:rPr>
            </w:pPr>
            <w:r w:rsidRPr="00E97477">
              <w:rPr>
                <w:rFonts w:asciiTheme="minorHAnsi" w:hAnsiTheme="minorHAnsi" w:cstheme="minorHAnsi"/>
                <w:sz w:val="20"/>
                <w:szCs w:val="20"/>
              </w:rPr>
              <w:t>≤ 75 HP Variable Speed Drive on Process Fan Control</w:t>
            </w:r>
          </w:p>
        </w:tc>
        <w:tc>
          <w:tcPr>
            <w:tcW w:w="2434" w:type="dxa"/>
            <w:shd w:val="clear" w:color="auto" w:fill="F3F3F3"/>
          </w:tcPr>
          <w:p w:rsidR="00E97477" w:rsidRPr="00E97477" w:rsidRDefault="00E97477" w:rsidP="00E97477">
            <w:pPr>
              <w:jc w:val="center"/>
              <w:rPr>
                <w:rFonts w:asciiTheme="minorHAnsi" w:hAnsiTheme="minorHAnsi"/>
                <w:sz w:val="20"/>
                <w:szCs w:val="20"/>
              </w:rPr>
            </w:pPr>
            <w:r w:rsidRPr="00E97477">
              <w:rPr>
                <w:rFonts w:ascii="Calibri" w:hAnsi="Calibri"/>
                <w:sz w:val="20"/>
                <w:szCs w:val="20"/>
              </w:rPr>
              <w:t xml:space="preserve">Manufacturing - Bio/Tech, Manufacturing - Light Industrial, </w:t>
            </w:r>
            <w:r w:rsidRPr="00E97477">
              <w:rPr>
                <w:rFonts w:asciiTheme="minorHAnsi" w:hAnsiTheme="minorHAnsi"/>
                <w:sz w:val="20"/>
                <w:szCs w:val="20"/>
              </w:rPr>
              <w:t>Industrial</w:t>
            </w:r>
          </w:p>
        </w:tc>
        <w:tc>
          <w:tcPr>
            <w:tcW w:w="1946" w:type="dxa"/>
            <w:shd w:val="clear" w:color="auto" w:fill="F3F3F3"/>
            <w:vAlign w:val="center"/>
          </w:tcPr>
          <w:p w:rsidR="00E97477" w:rsidRPr="00E97477" w:rsidRDefault="00E97477" w:rsidP="00960E44">
            <w:pPr>
              <w:jc w:val="center"/>
              <w:rPr>
                <w:rFonts w:asciiTheme="minorHAnsi" w:hAnsiTheme="minorHAnsi"/>
                <w:sz w:val="20"/>
                <w:szCs w:val="20"/>
              </w:rPr>
            </w:pPr>
            <w:r w:rsidRPr="00E97477">
              <w:rPr>
                <w:rFonts w:asciiTheme="minorHAnsi" w:hAnsiTheme="minorHAnsi"/>
                <w:sz w:val="20"/>
                <w:szCs w:val="20"/>
              </w:rPr>
              <w:t>698.87</w:t>
            </w:r>
          </w:p>
        </w:tc>
        <w:tc>
          <w:tcPr>
            <w:tcW w:w="1620" w:type="dxa"/>
            <w:shd w:val="clear" w:color="auto" w:fill="F3F3F3"/>
            <w:vAlign w:val="center"/>
          </w:tcPr>
          <w:p w:rsidR="00E97477" w:rsidRPr="00E97477" w:rsidRDefault="00E97477" w:rsidP="008615BE">
            <w:pPr>
              <w:jc w:val="center"/>
              <w:rPr>
                <w:rFonts w:asciiTheme="minorHAnsi" w:hAnsiTheme="minorHAnsi"/>
                <w:sz w:val="20"/>
                <w:szCs w:val="20"/>
              </w:rPr>
            </w:pPr>
            <w:r w:rsidRPr="00E97477">
              <w:rPr>
                <w:rFonts w:asciiTheme="minorHAnsi" w:hAnsiTheme="minorHAnsi"/>
                <w:sz w:val="20"/>
                <w:szCs w:val="20"/>
              </w:rPr>
              <w:t>0.40304</w:t>
            </w:r>
          </w:p>
        </w:tc>
      </w:tr>
      <w:tr w:rsidR="00E97477" w:rsidRPr="00E97477" w:rsidTr="00E97477">
        <w:trPr>
          <w:trHeight w:val="255"/>
          <w:jc w:val="center"/>
        </w:trPr>
        <w:tc>
          <w:tcPr>
            <w:tcW w:w="1546" w:type="dxa"/>
            <w:vMerge/>
            <w:shd w:val="clear" w:color="auto" w:fill="F3F3F3"/>
            <w:vAlign w:val="center"/>
          </w:tcPr>
          <w:p w:rsidR="00E97477" w:rsidRPr="00E97477" w:rsidRDefault="00E97477" w:rsidP="000A6DB2">
            <w:pPr>
              <w:jc w:val="center"/>
              <w:rPr>
                <w:rFonts w:asciiTheme="minorHAnsi" w:hAnsiTheme="minorHAnsi" w:cstheme="minorHAnsi"/>
                <w:sz w:val="20"/>
                <w:szCs w:val="20"/>
              </w:rPr>
            </w:pPr>
          </w:p>
        </w:tc>
        <w:tc>
          <w:tcPr>
            <w:tcW w:w="2162" w:type="dxa"/>
            <w:vMerge/>
            <w:shd w:val="clear" w:color="auto" w:fill="F3F3F3"/>
            <w:vAlign w:val="center"/>
          </w:tcPr>
          <w:p w:rsidR="00E97477" w:rsidRPr="00E97477" w:rsidRDefault="00E97477" w:rsidP="000A6DB2">
            <w:pPr>
              <w:jc w:val="center"/>
              <w:rPr>
                <w:rFonts w:asciiTheme="minorHAnsi" w:hAnsiTheme="minorHAnsi" w:cstheme="minorHAnsi"/>
                <w:sz w:val="20"/>
                <w:szCs w:val="20"/>
              </w:rPr>
            </w:pPr>
          </w:p>
        </w:tc>
        <w:tc>
          <w:tcPr>
            <w:tcW w:w="2434" w:type="dxa"/>
            <w:shd w:val="clear" w:color="auto" w:fill="F3F3F3"/>
          </w:tcPr>
          <w:p w:rsidR="00E97477" w:rsidRPr="00E97477" w:rsidRDefault="00E97477" w:rsidP="00E97477">
            <w:pPr>
              <w:jc w:val="center"/>
              <w:rPr>
                <w:rFonts w:asciiTheme="minorHAnsi" w:hAnsiTheme="minorHAnsi"/>
                <w:sz w:val="20"/>
                <w:szCs w:val="20"/>
              </w:rPr>
            </w:pPr>
            <w:r>
              <w:rPr>
                <w:rFonts w:asciiTheme="minorHAnsi" w:hAnsiTheme="minorHAnsi"/>
                <w:sz w:val="20"/>
                <w:szCs w:val="20"/>
              </w:rPr>
              <w:t>Agricultural</w:t>
            </w:r>
          </w:p>
        </w:tc>
        <w:tc>
          <w:tcPr>
            <w:tcW w:w="1946" w:type="dxa"/>
            <w:shd w:val="clear" w:color="auto" w:fill="F3F3F3"/>
            <w:vAlign w:val="center"/>
          </w:tcPr>
          <w:p w:rsidR="00E97477" w:rsidRPr="00E97477" w:rsidRDefault="00E97477" w:rsidP="00960E44">
            <w:pPr>
              <w:jc w:val="center"/>
              <w:rPr>
                <w:rFonts w:asciiTheme="minorHAnsi" w:hAnsiTheme="minorHAnsi"/>
                <w:sz w:val="20"/>
                <w:szCs w:val="20"/>
              </w:rPr>
            </w:pPr>
            <w:r>
              <w:rPr>
                <w:rFonts w:asciiTheme="minorHAnsi" w:hAnsiTheme="minorHAnsi"/>
                <w:sz w:val="20"/>
                <w:szCs w:val="20"/>
              </w:rPr>
              <w:t>640.69</w:t>
            </w:r>
          </w:p>
        </w:tc>
        <w:tc>
          <w:tcPr>
            <w:tcW w:w="1620" w:type="dxa"/>
            <w:shd w:val="clear" w:color="auto" w:fill="F3F3F3"/>
            <w:vAlign w:val="center"/>
          </w:tcPr>
          <w:p w:rsidR="00E97477" w:rsidRPr="00E97477" w:rsidRDefault="00E97477" w:rsidP="008615BE">
            <w:pPr>
              <w:jc w:val="center"/>
              <w:rPr>
                <w:rFonts w:asciiTheme="minorHAnsi" w:hAnsiTheme="minorHAnsi"/>
                <w:sz w:val="20"/>
                <w:szCs w:val="20"/>
              </w:rPr>
            </w:pPr>
            <w:r>
              <w:rPr>
                <w:rFonts w:asciiTheme="minorHAnsi" w:hAnsiTheme="minorHAnsi"/>
                <w:sz w:val="20"/>
                <w:szCs w:val="20"/>
              </w:rPr>
              <w:t>0.36949</w:t>
            </w:r>
          </w:p>
        </w:tc>
      </w:tr>
    </w:tbl>
    <w:p w:rsidR="00511F5F" w:rsidRDefault="00511F5F" w:rsidP="00511F5F">
      <w:pPr>
        <w:rPr>
          <w:rFonts w:asciiTheme="minorHAnsi" w:hAnsiTheme="minorHAnsi"/>
          <w:sz w:val="22"/>
          <w:szCs w:val="22"/>
        </w:rPr>
      </w:pPr>
    </w:p>
    <w:p w:rsidR="00511F5F" w:rsidRPr="008E3459" w:rsidRDefault="00511F5F" w:rsidP="00511F5F">
      <w:pPr>
        <w:rPr>
          <w:rFonts w:asciiTheme="minorHAnsi" w:hAnsiTheme="minorHAnsi"/>
          <w:sz w:val="22"/>
          <w:szCs w:val="22"/>
        </w:rPr>
      </w:pPr>
      <w:r>
        <w:rPr>
          <w:rFonts w:asciiTheme="minorHAnsi" w:hAnsiTheme="minorHAnsi"/>
          <w:sz w:val="22"/>
          <w:szCs w:val="22"/>
        </w:rPr>
        <w:t>Savings calculations are in Attachment 2.</w:t>
      </w:r>
    </w:p>
    <w:p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15"/>
      <w:r w:rsidRPr="00697868">
        <w:rPr>
          <w:rFonts w:asciiTheme="minorHAnsi" w:hAnsiTheme="minorHAnsi" w:cstheme="minorHAnsi"/>
        </w:rPr>
        <w:t>s</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CF6DDC">
        <w:rPr>
          <w:rFonts w:asciiTheme="minorHAnsi" w:hAnsiTheme="minorHAnsi" w:cstheme="minorHAnsi"/>
          <w:sz w:val="22"/>
          <w:szCs w:val="22"/>
        </w:rPr>
        <w:t>Industrial</w:t>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CF6DDC" w:rsidRPr="00697868">
        <w:rPr>
          <w:rFonts w:asciiTheme="minorHAnsi" w:hAnsiTheme="minorHAnsi" w:cstheme="minorHAnsi"/>
          <w:sz w:val="22"/>
          <w:szCs w:val="22"/>
        </w:rPr>
        <w:t xml:space="preserve">Table </w:t>
      </w:r>
      <w:r w:rsidR="00CF6DDC">
        <w:rPr>
          <w:rFonts w:asciiTheme="minorHAnsi" w:hAnsiTheme="minorHAnsi" w:cstheme="minorHAnsi"/>
          <w:noProof/>
          <w:sz w:val="22"/>
          <w:szCs w:val="22"/>
        </w:rPr>
        <w:t>9</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w:t>
      </w:r>
      <w:proofErr w:type="gramStart"/>
      <w:r w:rsidRPr="00697868">
        <w:rPr>
          <w:rFonts w:asciiTheme="minorHAnsi" w:hAnsiTheme="minorHAnsi" w:cstheme="minorHAnsi"/>
          <w:sz w:val="22"/>
          <w:szCs w:val="22"/>
        </w:rPr>
        <w:t xml:space="preserve">.  </w:t>
      </w:r>
      <w:proofErr w:type="gramEnd"/>
      <w:r w:rsidRPr="00697868">
        <w:rPr>
          <w:rFonts w:asciiTheme="minorHAnsi" w:hAnsiTheme="minorHAnsi" w:cstheme="minorHAnsi"/>
          <w:sz w:val="22"/>
          <w:szCs w:val="22"/>
        </w:rPr>
        <w:t>See the KEMA report [31] for a more thorough discussion regarding the load shapes for this measure.</w:t>
      </w:r>
    </w:p>
    <w:p w:rsidR="00E16609" w:rsidRDefault="003F0623" w:rsidP="003F0623">
      <w:pPr>
        <w:pStyle w:val="Caption"/>
        <w:jc w:val="center"/>
        <w:rPr>
          <w:rFonts w:asciiTheme="minorHAnsi" w:hAnsiTheme="minorHAnsi" w:cstheme="minorHAnsi"/>
          <w:sz w:val="22"/>
          <w:szCs w:val="22"/>
        </w:rPr>
      </w:pPr>
      <w:bookmarkStart w:id="19"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F6DDC">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19"/>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Look w:val="01E0" w:firstRow="1" w:lastRow="1" w:firstColumn="1" w:lastColumn="1" w:noHBand="0" w:noVBand="0"/>
      </w:tblPr>
      <w:tblGrid>
        <w:gridCol w:w="2988"/>
        <w:gridCol w:w="2936"/>
        <w:gridCol w:w="2566"/>
      </w:tblGrid>
      <w:tr w:rsidR="00D9459C" w:rsidRPr="00D9459C" w:rsidTr="00D9459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D9459C" w:rsidRPr="00D9459C" w:rsidRDefault="00D9459C" w:rsidP="00D9459C">
            <w:pPr>
              <w:rPr>
                <w:rFonts w:asciiTheme="minorHAnsi" w:hAnsiTheme="minorHAnsi" w:cs="Calibri"/>
                <w:bCs w:val="0"/>
                <w:sz w:val="20"/>
                <w:szCs w:val="20"/>
                <w:highlight w:val="yellow"/>
              </w:rPr>
            </w:pPr>
            <w:r w:rsidRPr="00D9459C">
              <w:rPr>
                <w:rFonts w:asciiTheme="minorHAnsi" w:hAnsiTheme="minorHAnsi" w:cs="Calibri"/>
                <w:bCs w:val="0"/>
                <w:sz w:val="20"/>
                <w:szCs w:val="20"/>
              </w:rPr>
              <w:t>Building Type</w:t>
            </w:r>
          </w:p>
        </w:tc>
        <w:tc>
          <w:tcPr>
            <w:tcW w:w="1729" w:type="pct"/>
          </w:tcPr>
          <w:p w:rsidR="00D9459C" w:rsidRPr="00D9459C" w:rsidRDefault="00D9459C" w:rsidP="00960E44">
            <w:pPr>
              <w:jc w:val="center"/>
              <w:rPr>
                <w:rFonts w:asciiTheme="minorHAnsi" w:hAnsiTheme="minorHAnsi" w:cs="Calibri"/>
                <w:bCs w:val="0"/>
                <w:sz w:val="20"/>
                <w:szCs w:val="20"/>
                <w:highlight w:val="yellow"/>
              </w:rPr>
            </w:pPr>
            <w:r w:rsidRPr="00D9459C">
              <w:rPr>
                <w:rFonts w:asciiTheme="minorHAnsi" w:hAnsiTheme="minorHAnsi" w:cs="Calibri"/>
                <w:bCs w:val="0"/>
                <w:sz w:val="20"/>
                <w:szCs w:val="20"/>
              </w:rPr>
              <w:t>E3 Alt. Building Type</w:t>
            </w:r>
          </w:p>
        </w:tc>
        <w:tc>
          <w:tcPr>
            <w:tcW w:w="1511" w:type="pct"/>
          </w:tcPr>
          <w:p w:rsidR="00D9459C" w:rsidRPr="00D9459C" w:rsidRDefault="00D9459C" w:rsidP="00960E44">
            <w:pPr>
              <w:jc w:val="center"/>
              <w:rPr>
                <w:rFonts w:asciiTheme="minorHAnsi" w:hAnsiTheme="minorHAnsi" w:cs="Calibri"/>
                <w:bCs w:val="0"/>
                <w:sz w:val="20"/>
                <w:szCs w:val="20"/>
              </w:rPr>
            </w:pPr>
            <w:r w:rsidRPr="00D9459C">
              <w:rPr>
                <w:rFonts w:asciiTheme="minorHAnsi" w:hAnsiTheme="minorHAnsi" w:cs="Calibri"/>
                <w:bCs w:val="0"/>
                <w:sz w:val="20"/>
                <w:szCs w:val="20"/>
              </w:rPr>
              <w:t>Load Shape</w:t>
            </w:r>
          </w:p>
        </w:tc>
      </w:tr>
      <w:tr w:rsidR="00D9459C" w:rsidRPr="00D9459C" w:rsidTr="00D9459C">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D9459C" w:rsidRPr="00D9459C" w:rsidRDefault="00D9459C" w:rsidP="00960E44">
            <w:pPr>
              <w:rPr>
                <w:rFonts w:asciiTheme="minorHAnsi" w:hAnsiTheme="minorHAnsi"/>
                <w:sz w:val="20"/>
                <w:szCs w:val="20"/>
              </w:rPr>
            </w:pPr>
            <w:r w:rsidRPr="00D9459C">
              <w:rPr>
                <w:rFonts w:asciiTheme="minorHAnsi" w:hAnsiTheme="minorHAnsi" w:cs="Calibri"/>
                <w:color w:val="000000"/>
                <w:sz w:val="20"/>
                <w:szCs w:val="20"/>
              </w:rPr>
              <w:t>Manufacturing - Bio/Tech</w:t>
            </w:r>
          </w:p>
        </w:tc>
        <w:tc>
          <w:tcPr>
            <w:tcW w:w="1729" w:type="pct"/>
          </w:tcPr>
          <w:p w:rsidR="00D9459C" w:rsidRPr="00D9459C" w:rsidRDefault="00D9459C" w:rsidP="00960E44">
            <w:pPr>
              <w:jc w:val="center"/>
              <w:rPr>
                <w:rFonts w:asciiTheme="minorHAnsi" w:hAnsiTheme="minorHAnsi"/>
                <w:sz w:val="20"/>
                <w:szCs w:val="20"/>
              </w:rPr>
            </w:pPr>
            <w:r w:rsidRPr="00D9459C">
              <w:rPr>
                <w:rFonts w:asciiTheme="minorHAnsi" w:hAnsiTheme="minorHAnsi" w:cs="Calibri"/>
                <w:sz w:val="20"/>
                <w:szCs w:val="20"/>
              </w:rPr>
              <w:t>Industrial</w:t>
            </w:r>
          </w:p>
        </w:tc>
        <w:tc>
          <w:tcPr>
            <w:tcW w:w="1511" w:type="pct"/>
          </w:tcPr>
          <w:p w:rsidR="00D9459C" w:rsidRPr="00D9459C" w:rsidRDefault="00D9459C" w:rsidP="00960E44">
            <w:pPr>
              <w:jc w:val="center"/>
              <w:rPr>
                <w:rFonts w:asciiTheme="minorHAnsi" w:hAnsiTheme="minorHAnsi"/>
                <w:sz w:val="20"/>
                <w:szCs w:val="20"/>
              </w:rPr>
            </w:pPr>
            <w:r w:rsidRPr="00D9459C">
              <w:rPr>
                <w:rFonts w:asciiTheme="minorHAnsi" w:hAnsiTheme="minorHAnsi" w:cs="Calibri"/>
                <w:sz w:val="20"/>
                <w:szCs w:val="20"/>
              </w:rPr>
              <w:t>Industrial</w:t>
            </w:r>
          </w:p>
        </w:tc>
      </w:tr>
      <w:tr w:rsidR="00D9459C" w:rsidRPr="00D9459C" w:rsidTr="00D9459C">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D9459C" w:rsidRPr="00D9459C" w:rsidRDefault="00D9459C" w:rsidP="00960E44">
            <w:pPr>
              <w:rPr>
                <w:rFonts w:asciiTheme="minorHAnsi" w:hAnsiTheme="minorHAnsi"/>
                <w:sz w:val="20"/>
                <w:szCs w:val="20"/>
              </w:rPr>
            </w:pPr>
            <w:r w:rsidRPr="00D9459C">
              <w:rPr>
                <w:rFonts w:asciiTheme="minorHAnsi" w:hAnsiTheme="minorHAnsi" w:cs="Calibri"/>
                <w:color w:val="000000"/>
                <w:sz w:val="20"/>
                <w:szCs w:val="20"/>
              </w:rPr>
              <w:t>Manufacturing - Light Industrial</w:t>
            </w:r>
          </w:p>
        </w:tc>
        <w:tc>
          <w:tcPr>
            <w:tcW w:w="1729" w:type="pct"/>
          </w:tcPr>
          <w:p w:rsidR="00D9459C" w:rsidRPr="00D9459C" w:rsidRDefault="00E97477" w:rsidP="00960E44">
            <w:pPr>
              <w:jc w:val="center"/>
              <w:rPr>
                <w:rFonts w:asciiTheme="minorHAnsi" w:hAnsiTheme="minorHAnsi"/>
                <w:sz w:val="20"/>
                <w:szCs w:val="20"/>
              </w:rPr>
            </w:pPr>
            <w:r>
              <w:rPr>
                <w:rFonts w:asciiTheme="minorHAnsi" w:hAnsiTheme="minorHAnsi"/>
                <w:sz w:val="20"/>
                <w:szCs w:val="20"/>
              </w:rPr>
              <w:t>I</w:t>
            </w:r>
            <w:r w:rsidR="00D9459C" w:rsidRPr="00D9459C">
              <w:rPr>
                <w:rFonts w:asciiTheme="minorHAnsi" w:hAnsiTheme="minorHAnsi"/>
                <w:sz w:val="20"/>
                <w:szCs w:val="20"/>
              </w:rPr>
              <w:t>ndustrial</w:t>
            </w:r>
          </w:p>
        </w:tc>
        <w:tc>
          <w:tcPr>
            <w:tcW w:w="1511" w:type="pct"/>
          </w:tcPr>
          <w:p w:rsidR="00D9459C" w:rsidRPr="00D9459C" w:rsidRDefault="00D9459C" w:rsidP="00960E44">
            <w:pPr>
              <w:jc w:val="center"/>
              <w:rPr>
                <w:rFonts w:asciiTheme="minorHAnsi" w:hAnsiTheme="minorHAnsi"/>
                <w:sz w:val="20"/>
                <w:szCs w:val="20"/>
              </w:rPr>
            </w:pPr>
            <w:r w:rsidRPr="00D9459C">
              <w:rPr>
                <w:rFonts w:asciiTheme="minorHAnsi" w:hAnsiTheme="minorHAnsi"/>
                <w:sz w:val="20"/>
                <w:szCs w:val="20"/>
              </w:rPr>
              <w:t>industrial</w:t>
            </w:r>
          </w:p>
        </w:tc>
      </w:tr>
      <w:tr w:rsidR="00D9459C" w:rsidRPr="00D9459C" w:rsidTr="00D9459C">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D9459C" w:rsidRPr="00D9459C" w:rsidRDefault="00D9459C" w:rsidP="00960E44">
            <w:pPr>
              <w:rPr>
                <w:rFonts w:asciiTheme="minorHAnsi" w:hAnsiTheme="minorHAnsi"/>
                <w:sz w:val="20"/>
                <w:szCs w:val="20"/>
              </w:rPr>
            </w:pPr>
            <w:r w:rsidRPr="00D9459C">
              <w:rPr>
                <w:rFonts w:asciiTheme="minorHAnsi" w:hAnsiTheme="minorHAnsi" w:cs="Calibri"/>
                <w:color w:val="000000"/>
                <w:sz w:val="20"/>
                <w:szCs w:val="20"/>
              </w:rPr>
              <w:t>Industrial</w:t>
            </w:r>
          </w:p>
        </w:tc>
        <w:tc>
          <w:tcPr>
            <w:tcW w:w="1729" w:type="pct"/>
          </w:tcPr>
          <w:p w:rsidR="00D9459C" w:rsidRPr="00D9459C" w:rsidRDefault="00D9459C" w:rsidP="00960E44">
            <w:pPr>
              <w:jc w:val="center"/>
              <w:rPr>
                <w:rFonts w:asciiTheme="minorHAnsi" w:hAnsiTheme="minorHAnsi" w:cs="Calibri"/>
                <w:sz w:val="20"/>
                <w:szCs w:val="20"/>
              </w:rPr>
            </w:pPr>
            <w:r w:rsidRPr="00D9459C">
              <w:rPr>
                <w:rFonts w:asciiTheme="minorHAnsi" w:hAnsiTheme="minorHAnsi" w:cs="Calibri"/>
                <w:sz w:val="20"/>
                <w:szCs w:val="20"/>
              </w:rPr>
              <w:t>Industrial</w:t>
            </w:r>
          </w:p>
        </w:tc>
        <w:tc>
          <w:tcPr>
            <w:tcW w:w="1511" w:type="pct"/>
          </w:tcPr>
          <w:p w:rsidR="00D9459C" w:rsidRPr="00D9459C" w:rsidRDefault="00D9459C" w:rsidP="00960E44">
            <w:pPr>
              <w:jc w:val="center"/>
              <w:rPr>
                <w:rFonts w:asciiTheme="minorHAnsi" w:hAnsiTheme="minorHAnsi" w:cs="Calibri"/>
                <w:sz w:val="20"/>
                <w:szCs w:val="20"/>
              </w:rPr>
            </w:pPr>
            <w:r w:rsidRPr="00D9459C">
              <w:rPr>
                <w:rFonts w:asciiTheme="minorHAnsi" w:hAnsiTheme="minorHAnsi" w:cs="Calibri"/>
                <w:sz w:val="20"/>
                <w:szCs w:val="20"/>
              </w:rPr>
              <w:t>Industrial</w:t>
            </w:r>
          </w:p>
        </w:tc>
      </w:tr>
      <w:tr w:rsidR="00E97477" w:rsidRPr="00D9459C" w:rsidTr="00D9459C">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E97477" w:rsidRPr="00D9459C" w:rsidRDefault="00E97477" w:rsidP="00960E44">
            <w:pPr>
              <w:rPr>
                <w:rFonts w:asciiTheme="minorHAnsi" w:hAnsiTheme="minorHAnsi" w:cs="Calibri"/>
                <w:color w:val="000000"/>
                <w:sz w:val="20"/>
                <w:szCs w:val="20"/>
              </w:rPr>
            </w:pPr>
            <w:r>
              <w:rPr>
                <w:rFonts w:asciiTheme="minorHAnsi" w:hAnsiTheme="minorHAnsi" w:cs="Calibri"/>
                <w:color w:val="000000"/>
                <w:sz w:val="20"/>
                <w:szCs w:val="20"/>
              </w:rPr>
              <w:t>Agricultural</w:t>
            </w:r>
          </w:p>
        </w:tc>
        <w:tc>
          <w:tcPr>
            <w:tcW w:w="1729" w:type="pct"/>
          </w:tcPr>
          <w:p w:rsidR="00E97477" w:rsidRPr="00D9459C" w:rsidRDefault="00E97477" w:rsidP="00960E44">
            <w:pPr>
              <w:jc w:val="center"/>
              <w:rPr>
                <w:rFonts w:asciiTheme="minorHAnsi" w:hAnsiTheme="minorHAnsi" w:cs="Calibri"/>
                <w:sz w:val="20"/>
                <w:szCs w:val="20"/>
              </w:rPr>
            </w:pPr>
            <w:r w:rsidRPr="00D9459C">
              <w:rPr>
                <w:rFonts w:asciiTheme="minorHAnsi" w:hAnsiTheme="minorHAnsi" w:cs="Calibri"/>
                <w:sz w:val="20"/>
                <w:szCs w:val="20"/>
              </w:rPr>
              <w:t>Industrial</w:t>
            </w:r>
          </w:p>
        </w:tc>
        <w:tc>
          <w:tcPr>
            <w:tcW w:w="1511" w:type="pct"/>
          </w:tcPr>
          <w:p w:rsidR="00E97477" w:rsidRPr="00D9459C" w:rsidRDefault="00E97477" w:rsidP="00960E44">
            <w:pPr>
              <w:jc w:val="center"/>
              <w:rPr>
                <w:rFonts w:asciiTheme="minorHAnsi" w:hAnsiTheme="minorHAnsi" w:cs="Calibri"/>
                <w:sz w:val="20"/>
                <w:szCs w:val="20"/>
              </w:rPr>
            </w:pPr>
            <w:r w:rsidRPr="00D9459C">
              <w:rPr>
                <w:rFonts w:asciiTheme="minorHAnsi" w:hAnsiTheme="minorHAnsi" w:cs="Calibri"/>
                <w:sz w:val="20"/>
                <w:szCs w:val="20"/>
              </w:rPr>
              <w:t>Industrial</w:t>
            </w:r>
          </w:p>
        </w:tc>
      </w:tr>
    </w:tbl>
    <w:p w:rsidR="00D9459C" w:rsidRPr="00D9459C" w:rsidRDefault="00D9459C" w:rsidP="00D9459C"/>
    <w:p w:rsidR="00E16609" w:rsidRPr="00697868" w:rsidRDefault="00E16609" w:rsidP="00E16609">
      <w:pPr>
        <w:pStyle w:val="Heading1"/>
        <w:keepNext w:val="0"/>
        <w:rPr>
          <w:rFonts w:asciiTheme="minorHAnsi" w:hAnsiTheme="minorHAnsi" w:cstheme="minorHAnsi"/>
        </w:rPr>
      </w:pPr>
      <w:bookmarkStart w:id="20"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0"/>
    </w:p>
    <w:p w:rsidR="00E16609" w:rsidRPr="00697868" w:rsidRDefault="00E16609" w:rsidP="00824F1C">
      <w:pPr>
        <w:pStyle w:val="Heading2"/>
        <w:rPr>
          <w:rFonts w:asciiTheme="minorHAnsi" w:hAnsiTheme="minorHAnsi" w:cstheme="minorHAnsi"/>
        </w:rPr>
      </w:pPr>
      <w:bookmarkStart w:id="21" w:name="_MON_1399297811"/>
      <w:bookmarkStart w:id="22" w:name="_Toc214003097"/>
      <w:bookmarkEnd w:id="21"/>
      <w:r w:rsidRPr="00697868">
        <w:rPr>
          <w:rFonts w:asciiTheme="minorHAnsi" w:hAnsiTheme="minorHAnsi" w:cstheme="minorHAnsi"/>
        </w:rPr>
        <w:t>4.1 Base Case Cost</w:t>
      </w:r>
      <w:bookmarkEnd w:id="22"/>
    </w:p>
    <w:p w:rsidR="00E16609" w:rsidRPr="007A2FAD" w:rsidRDefault="007A2FAD" w:rsidP="003D2871">
      <w:pPr>
        <w:pStyle w:val="Reminders"/>
        <w:rPr>
          <w:rFonts w:asciiTheme="minorHAnsi" w:hAnsiTheme="minorHAnsi" w:cstheme="minorHAnsi"/>
          <w:i w:val="0"/>
          <w:color w:val="auto"/>
          <w:sz w:val="22"/>
          <w:szCs w:val="22"/>
        </w:rPr>
      </w:pPr>
      <w:r w:rsidRPr="007A2FAD">
        <w:rPr>
          <w:rFonts w:asciiTheme="minorHAnsi" w:hAnsiTheme="minorHAnsi"/>
          <w:i w:val="0"/>
          <w:color w:val="auto"/>
          <w:sz w:val="22"/>
          <w:szCs w:val="22"/>
        </w:rPr>
        <w:t>For this measure category, the base case cost is assumed to be zero because these are discretionary modifications (retrofit add-on) to the customers’ existing equipment.  The alternative is to make no changes to their existing system.</w:t>
      </w:r>
    </w:p>
    <w:p w:rsidR="005A0E53" w:rsidRPr="00697868" w:rsidRDefault="005A0E53" w:rsidP="005A0E53">
      <w:pPr>
        <w:pStyle w:val="Heading2"/>
        <w:rPr>
          <w:rFonts w:asciiTheme="minorHAnsi" w:hAnsiTheme="minorHAnsi" w:cstheme="minorHAnsi"/>
        </w:rPr>
      </w:pPr>
      <w:bookmarkStart w:id="23" w:name="_Toc214003098"/>
      <w:r w:rsidRPr="00697868">
        <w:rPr>
          <w:rFonts w:asciiTheme="minorHAnsi" w:hAnsiTheme="minorHAnsi" w:cstheme="minorHAnsi"/>
        </w:rPr>
        <w:lastRenderedPageBreak/>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7A2FAD" w:rsidRPr="007A2FAD" w:rsidRDefault="007A2FAD" w:rsidP="007A2FAD">
      <w:pPr>
        <w:rPr>
          <w:rFonts w:asciiTheme="minorHAnsi" w:hAnsiTheme="minorHAnsi"/>
          <w:sz w:val="22"/>
          <w:szCs w:val="22"/>
        </w:rPr>
      </w:pPr>
      <w:r w:rsidRPr="007A2FAD">
        <w:rPr>
          <w:rFonts w:asciiTheme="minorHAnsi" w:hAnsiTheme="minorHAnsi"/>
          <w:sz w:val="22"/>
          <w:szCs w:val="22"/>
        </w:rPr>
        <w:t xml:space="preserve">For retrofit add-on measures, the gross measure cost is the full measure cost to purchase and install, as shown </w:t>
      </w:r>
      <w:r w:rsidR="00CF6DDC">
        <w:rPr>
          <w:rFonts w:asciiTheme="minorHAnsi" w:hAnsiTheme="minorHAnsi"/>
          <w:sz w:val="22"/>
          <w:szCs w:val="22"/>
        </w:rPr>
        <w:t>in</w:t>
      </w:r>
      <w:r w:rsidRPr="007A2FAD">
        <w:rPr>
          <w:rFonts w:asciiTheme="minorHAnsi" w:hAnsiTheme="minorHAnsi"/>
          <w:sz w:val="22"/>
          <w:szCs w:val="22"/>
        </w:rPr>
        <w:t xml:space="preserve"> </w:t>
      </w:r>
      <w:r w:rsidR="00CF6DDC">
        <w:rPr>
          <w:rFonts w:asciiTheme="minorHAnsi" w:hAnsiTheme="minorHAnsi"/>
          <w:sz w:val="22"/>
          <w:szCs w:val="22"/>
        </w:rPr>
        <w:fldChar w:fldCharType="begin"/>
      </w:r>
      <w:r w:rsidR="00CF6DDC">
        <w:rPr>
          <w:rFonts w:asciiTheme="minorHAnsi" w:hAnsiTheme="minorHAnsi"/>
          <w:sz w:val="22"/>
          <w:szCs w:val="22"/>
        </w:rPr>
        <w:instrText xml:space="preserve"> REF _Ref380736378 \h  \* MERGEFORMAT </w:instrText>
      </w:r>
      <w:r w:rsidR="00CF6DDC">
        <w:rPr>
          <w:rFonts w:asciiTheme="minorHAnsi" w:hAnsiTheme="minorHAnsi"/>
          <w:sz w:val="22"/>
          <w:szCs w:val="22"/>
        </w:rPr>
      </w:r>
      <w:r w:rsidR="00CF6DDC">
        <w:rPr>
          <w:rFonts w:asciiTheme="minorHAnsi" w:hAnsiTheme="minorHAnsi"/>
          <w:sz w:val="22"/>
          <w:szCs w:val="22"/>
        </w:rPr>
        <w:fldChar w:fldCharType="separate"/>
      </w:r>
      <w:r w:rsidR="00CF6DDC" w:rsidRPr="00CF6DDC">
        <w:rPr>
          <w:rFonts w:asciiTheme="minorHAnsi" w:hAnsiTheme="minorHAnsi"/>
          <w:sz w:val="22"/>
          <w:szCs w:val="22"/>
        </w:rPr>
        <w:t>Table 10</w:t>
      </w:r>
      <w:r w:rsidR="00CF6DDC">
        <w:rPr>
          <w:rFonts w:asciiTheme="minorHAnsi" w:hAnsiTheme="minorHAnsi"/>
          <w:sz w:val="22"/>
          <w:szCs w:val="22"/>
        </w:rPr>
        <w:fldChar w:fldCharType="end"/>
      </w:r>
      <w:r w:rsidR="00CF6DDC">
        <w:rPr>
          <w:rFonts w:asciiTheme="minorHAnsi" w:hAnsiTheme="minorHAnsi"/>
          <w:sz w:val="22"/>
          <w:szCs w:val="22"/>
        </w:rPr>
        <w:t>.</w:t>
      </w:r>
      <w:r w:rsidRPr="007A2FAD">
        <w:rPr>
          <w:rFonts w:asciiTheme="minorHAnsi" w:hAnsiTheme="minorHAnsi"/>
          <w:sz w:val="22"/>
          <w:szCs w:val="22"/>
        </w:rPr>
        <w:t xml:space="preserve"> </w:t>
      </w:r>
      <w:r w:rsidR="00CF6DDC">
        <w:rPr>
          <w:rFonts w:asciiTheme="minorHAnsi" w:hAnsiTheme="minorHAnsi"/>
          <w:sz w:val="22"/>
          <w:szCs w:val="22"/>
        </w:rPr>
        <w:t>The measure cost shown above was obtained using data from the 2012 edition of RS Means Electrical Cost Data.  RSMeans c</w:t>
      </w:r>
      <w:r w:rsidR="00177819">
        <w:rPr>
          <w:rFonts w:asciiTheme="minorHAnsi" w:hAnsiTheme="minorHAnsi"/>
          <w:sz w:val="22"/>
          <w:szCs w:val="22"/>
        </w:rPr>
        <w:t>overs VFDs from 3 hp</w:t>
      </w:r>
      <w:r w:rsidR="00E211C5">
        <w:rPr>
          <w:rFonts w:asciiTheme="minorHAnsi" w:hAnsiTheme="minorHAnsi"/>
          <w:sz w:val="22"/>
          <w:szCs w:val="22"/>
        </w:rPr>
        <w:t xml:space="preserve"> to 75 </w:t>
      </w:r>
      <w:r w:rsidR="00177819">
        <w:rPr>
          <w:rFonts w:asciiTheme="minorHAnsi" w:hAnsiTheme="minorHAnsi"/>
          <w:sz w:val="22"/>
          <w:szCs w:val="22"/>
        </w:rPr>
        <w:t>hp</w:t>
      </w:r>
      <w:r w:rsidR="00E211C5">
        <w:rPr>
          <w:rFonts w:asciiTheme="minorHAnsi" w:hAnsiTheme="minorHAnsi"/>
          <w:sz w:val="22"/>
          <w:szCs w:val="22"/>
        </w:rPr>
        <w:t xml:space="preserve"> [358</w:t>
      </w:r>
      <w:r w:rsidR="00CF6DDC">
        <w:rPr>
          <w:rFonts w:asciiTheme="minorHAnsi" w:hAnsiTheme="minorHAnsi"/>
          <w:sz w:val="22"/>
          <w:szCs w:val="22"/>
        </w:rPr>
        <w:t>]. The total cost from RSMeans for each drive was divided by the rated HP to get a normalized cost. These were then averaged to get an overa</w:t>
      </w:r>
      <w:r w:rsidR="00177819">
        <w:rPr>
          <w:rFonts w:asciiTheme="minorHAnsi" w:hAnsiTheme="minorHAnsi"/>
          <w:sz w:val="22"/>
          <w:szCs w:val="22"/>
        </w:rPr>
        <w:t>ll $/hp which comes to $196.04/hp</w:t>
      </w:r>
      <w:r w:rsidR="00CF6DDC">
        <w:rPr>
          <w:rFonts w:asciiTheme="minorHAnsi" w:hAnsiTheme="minorHAnsi"/>
          <w:sz w:val="22"/>
          <w:szCs w:val="22"/>
        </w:rPr>
        <w:t xml:space="preserve">. </w:t>
      </w:r>
      <w:r w:rsidR="00177819">
        <w:rPr>
          <w:rFonts w:asciiTheme="minorHAnsi" w:hAnsiTheme="minorHAnsi"/>
          <w:sz w:val="22"/>
          <w:szCs w:val="22"/>
        </w:rPr>
        <w:t>T</w:t>
      </w:r>
      <w:r w:rsidR="00CF6DDC">
        <w:rPr>
          <w:rFonts w:asciiTheme="minorHAnsi" w:hAnsiTheme="minorHAnsi"/>
          <w:sz w:val="22"/>
          <w:szCs w:val="22"/>
        </w:rPr>
        <w:t>he labor costs</w:t>
      </w:r>
      <w:r w:rsidR="00177819">
        <w:rPr>
          <w:rFonts w:asciiTheme="minorHAnsi" w:hAnsiTheme="minorHAnsi"/>
          <w:sz w:val="22"/>
          <w:szCs w:val="22"/>
        </w:rPr>
        <w:t xml:space="preserve"> were calculated</w:t>
      </w:r>
      <w:r w:rsidR="00177819" w:rsidRPr="00177819">
        <w:rPr>
          <w:rFonts w:asciiTheme="minorHAnsi" w:hAnsiTheme="minorHAnsi"/>
          <w:sz w:val="22"/>
          <w:szCs w:val="22"/>
        </w:rPr>
        <w:t xml:space="preserve"> </w:t>
      </w:r>
      <w:r w:rsidR="00177819">
        <w:rPr>
          <w:rFonts w:asciiTheme="minorHAnsi" w:hAnsiTheme="minorHAnsi"/>
          <w:sz w:val="22"/>
          <w:szCs w:val="22"/>
        </w:rPr>
        <w:t>similarly and came out to $38.14/hp</w:t>
      </w:r>
      <w:r w:rsidR="00CF6DDC">
        <w:rPr>
          <w:rFonts w:asciiTheme="minorHAnsi" w:hAnsiTheme="minorHAnsi"/>
          <w:sz w:val="22"/>
          <w:szCs w:val="22"/>
        </w:rPr>
        <w:t xml:space="preserve">. Material costs per </w:t>
      </w:r>
      <w:r w:rsidR="00177819">
        <w:rPr>
          <w:rFonts w:asciiTheme="minorHAnsi" w:hAnsiTheme="minorHAnsi"/>
          <w:sz w:val="22"/>
          <w:szCs w:val="22"/>
        </w:rPr>
        <w:t>hp</w:t>
      </w:r>
      <w:r w:rsidR="00CF6DDC">
        <w:rPr>
          <w:rFonts w:asciiTheme="minorHAnsi" w:hAnsiTheme="minorHAnsi"/>
          <w:sz w:val="22"/>
          <w:szCs w:val="22"/>
        </w:rPr>
        <w:t xml:space="preserve"> was taken as the difference between total cost and labor cost</w:t>
      </w:r>
      <w:r w:rsidR="008B6825">
        <w:rPr>
          <w:rFonts w:asciiTheme="minorHAnsi" w:hAnsiTheme="minorHAnsi"/>
          <w:sz w:val="22"/>
          <w:szCs w:val="22"/>
        </w:rPr>
        <w:t>,</w:t>
      </w:r>
      <w:r w:rsidR="00177819">
        <w:rPr>
          <w:rFonts w:asciiTheme="minorHAnsi" w:hAnsiTheme="minorHAnsi"/>
          <w:sz w:val="22"/>
          <w:szCs w:val="22"/>
        </w:rPr>
        <w:t xml:space="preserve"> $157.90/hp</w:t>
      </w:r>
      <w:r w:rsidR="008B6825">
        <w:rPr>
          <w:rFonts w:asciiTheme="minorHAnsi" w:hAnsiTheme="minorHAnsi"/>
          <w:sz w:val="22"/>
          <w:szCs w:val="22"/>
        </w:rPr>
        <w:t>. See Attachment 2 for more details</w:t>
      </w:r>
      <w:r w:rsidR="00CF6DDC">
        <w:rPr>
          <w:rFonts w:asciiTheme="minorHAnsi" w:hAnsiTheme="minorHAnsi"/>
          <w:sz w:val="22"/>
          <w:szCs w:val="22"/>
        </w:rPr>
        <w:t>.</w:t>
      </w:r>
    </w:p>
    <w:p w:rsidR="007A2FAD" w:rsidRPr="007A2FAD" w:rsidRDefault="007A2FAD" w:rsidP="007A2FAD">
      <w:pPr>
        <w:pStyle w:val="Caption"/>
        <w:rPr>
          <w:rFonts w:asciiTheme="minorHAnsi" w:hAnsiTheme="minorHAnsi"/>
          <w:b w:val="0"/>
          <w:bCs w:val="0"/>
          <w:sz w:val="22"/>
          <w:szCs w:val="22"/>
        </w:rPr>
      </w:pPr>
    </w:p>
    <w:p w:rsidR="007A2FAD" w:rsidRPr="007A2FAD" w:rsidRDefault="007A2FAD" w:rsidP="007A2FAD">
      <w:pPr>
        <w:rPr>
          <w:rFonts w:asciiTheme="minorHAnsi" w:hAnsiTheme="minorHAnsi"/>
          <w:sz w:val="22"/>
          <w:szCs w:val="22"/>
        </w:rPr>
      </w:pPr>
      <w:r w:rsidRPr="007A2FAD">
        <w:rPr>
          <w:rFonts w:asciiTheme="minorHAnsi" w:hAnsiTheme="minorHAnsi"/>
          <w:sz w:val="22"/>
          <w:szCs w:val="22"/>
        </w:rPr>
        <w:t>GMC is represented by the equation below:</w:t>
      </w:r>
    </w:p>
    <w:p w:rsidR="007A2FAD" w:rsidRPr="007A2FAD" w:rsidRDefault="007A2FAD" w:rsidP="007A2FAD">
      <w:pPr>
        <w:rPr>
          <w:rFonts w:asciiTheme="minorHAnsi" w:hAnsiTheme="minorHAnsi"/>
          <w:sz w:val="22"/>
          <w:szCs w:val="22"/>
        </w:rPr>
      </w:pPr>
    </w:p>
    <w:p w:rsidR="007A2FAD" w:rsidRPr="007A2FAD" w:rsidRDefault="007A2FAD" w:rsidP="007A2FAD">
      <w:pPr>
        <w:ind w:firstLine="720"/>
        <w:rPr>
          <w:rFonts w:asciiTheme="minorHAnsi" w:hAnsiTheme="minorHAnsi"/>
          <w:sz w:val="22"/>
          <w:szCs w:val="22"/>
        </w:rPr>
      </w:pPr>
      <w:r w:rsidRPr="007A2FAD">
        <w:rPr>
          <w:rFonts w:asciiTheme="minorHAnsi" w:hAnsiTheme="minorHAnsi"/>
          <w:sz w:val="22"/>
          <w:szCs w:val="22"/>
        </w:rPr>
        <w:t>GMC = Measure Equipment Cost + Measure Labor Cost</w:t>
      </w:r>
    </w:p>
    <w:p w:rsidR="007A2FAD" w:rsidRPr="007A2FAD" w:rsidRDefault="007A2FAD" w:rsidP="007A2FAD">
      <w:pPr>
        <w:rPr>
          <w:rFonts w:asciiTheme="minorHAnsi" w:hAnsiTheme="minorHAnsi"/>
          <w:sz w:val="22"/>
          <w:szCs w:val="22"/>
        </w:rPr>
      </w:pPr>
    </w:p>
    <w:p w:rsidR="007A2FAD" w:rsidRPr="007A2FAD" w:rsidRDefault="007A2FAD" w:rsidP="007A2FAD">
      <w:pPr>
        <w:pStyle w:val="Caption"/>
        <w:keepNext/>
        <w:jc w:val="center"/>
        <w:rPr>
          <w:rFonts w:asciiTheme="minorHAnsi" w:hAnsiTheme="minorHAnsi"/>
          <w:sz w:val="22"/>
          <w:szCs w:val="22"/>
        </w:rPr>
      </w:pPr>
      <w:bookmarkStart w:id="24" w:name="_Ref380736378"/>
      <w:bookmarkStart w:id="25" w:name="_Ref320628668"/>
      <w:r w:rsidRPr="007A2FAD">
        <w:rPr>
          <w:rFonts w:asciiTheme="minorHAnsi" w:hAnsiTheme="minorHAnsi" w:cs="Calibri"/>
          <w:sz w:val="22"/>
          <w:szCs w:val="22"/>
        </w:rPr>
        <w:t xml:space="preserve">Table </w:t>
      </w:r>
      <w:r w:rsidRPr="007A2FAD">
        <w:rPr>
          <w:rFonts w:asciiTheme="minorHAnsi" w:hAnsiTheme="minorHAnsi" w:cs="Calibri"/>
          <w:sz w:val="22"/>
          <w:szCs w:val="22"/>
        </w:rPr>
        <w:fldChar w:fldCharType="begin"/>
      </w:r>
      <w:r w:rsidRPr="007A2FAD">
        <w:rPr>
          <w:rFonts w:asciiTheme="minorHAnsi" w:hAnsiTheme="minorHAnsi" w:cs="Calibri"/>
          <w:sz w:val="22"/>
          <w:szCs w:val="22"/>
        </w:rPr>
        <w:instrText xml:space="preserve"> SEQ Table \* ARABIC </w:instrText>
      </w:r>
      <w:r w:rsidRPr="007A2FAD">
        <w:rPr>
          <w:rFonts w:asciiTheme="minorHAnsi" w:hAnsiTheme="minorHAnsi" w:cs="Calibri"/>
          <w:sz w:val="22"/>
          <w:szCs w:val="22"/>
        </w:rPr>
        <w:fldChar w:fldCharType="separate"/>
      </w:r>
      <w:r w:rsidR="00CF6DDC">
        <w:rPr>
          <w:rFonts w:asciiTheme="minorHAnsi" w:hAnsiTheme="minorHAnsi" w:cs="Calibri"/>
          <w:noProof/>
          <w:sz w:val="22"/>
          <w:szCs w:val="22"/>
        </w:rPr>
        <w:t>10</w:t>
      </w:r>
      <w:r w:rsidRPr="007A2FAD">
        <w:rPr>
          <w:rFonts w:asciiTheme="minorHAnsi" w:hAnsiTheme="minorHAnsi" w:cs="Calibri"/>
          <w:sz w:val="22"/>
          <w:szCs w:val="22"/>
        </w:rPr>
        <w:fldChar w:fldCharType="end"/>
      </w:r>
      <w:bookmarkEnd w:id="24"/>
      <w:r w:rsidRPr="007A2FAD">
        <w:rPr>
          <w:rFonts w:asciiTheme="minorHAnsi" w:hAnsiTheme="minorHAnsi" w:cs="Calibri"/>
          <w:sz w:val="22"/>
          <w:szCs w:val="22"/>
        </w:rPr>
        <w:t xml:space="preserve"> </w:t>
      </w:r>
      <w:r w:rsidRPr="007A2FAD">
        <w:rPr>
          <w:rFonts w:asciiTheme="minorHAnsi" w:hAnsiTheme="minorHAnsi"/>
          <w:sz w:val="22"/>
          <w:szCs w:val="22"/>
        </w:rPr>
        <w:t>Measure Cost</w:t>
      </w:r>
      <w:bookmarkEnd w:id="25"/>
    </w:p>
    <w:tbl>
      <w:tblPr>
        <w:tblW w:w="6279" w:type="dxa"/>
        <w:jc w:val="center"/>
        <w:tblInd w:w="1185" w:type="dxa"/>
        <w:tblBorders>
          <w:insideH w:val="single" w:sz="18" w:space="0" w:color="FFFFFF"/>
          <w:insideV w:val="single" w:sz="18" w:space="0" w:color="FFFFFF"/>
        </w:tblBorders>
        <w:tblLook w:val="01E0" w:firstRow="1" w:lastRow="1" w:firstColumn="1" w:lastColumn="1" w:noHBand="0" w:noVBand="0"/>
      </w:tblPr>
      <w:tblGrid>
        <w:gridCol w:w="4643"/>
        <w:gridCol w:w="1636"/>
      </w:tblGrid>
      <w:tr w:rsidR="00511F5F" w:rsidRPr="007A2FAD" w:rsidTr="00511F5F">
        <w:trPr>
          <w:trHeight w:val="255"/>
          <w:jc w:val="center"/>
        </w:trPr>
        <w:tc>
          <w:tcPr>
            <w:tcW w:w="4643" w:type="dxa"/>
            <w:shd w:val="pct20" w:color="000000" w:fill="FFFFFF"/>
          </w:tcPr>
          <w:p w:rsidR="00511F5F" w:rsidRPr="007A2FAD" w:rsidRDefault="00511F5F" w:rsidP="007A2FAD">
            <w:pPr>
              <w:rPr>
                <w:rFonts w:asciiTheme="minorHAnsi" w:hAnsiTheme="minorHAnsi"/>
                <w:b/>
                <w:bCs/>
                <w:sz w:val="20"/>
                <w:szCs w:val="22"/>
              </w:rPr>
            </w:pPr>
            <w:r w:rsidRPr="007A2FAD">
              <w:rPr>
                <w:rFonts w:asciiTheme="minorHAnsi" w:hAnsiTheme="minorHAnsi"/>
                <w:b/>
                <w:bCs/>
                <w:sz w:val="20"/>
                <w:szCs w:val="22"/>
              </w:rPr>
              <w:t>Description</w:t>
            </w:r>
          </w:p>
        </w:tc>
        <w:tc>
          <w:tcPr>
            <w:tcW w:w="1636" w:type="dxa"/>
            <w:shd w:val="pct20" w:color="000000" w:fill="FFFFFF"/>
            <w:noWrap/>
          </w:tcPr>
          <w:p w:rsidR="00511F5F" w:rsidRPr="007A2FAD" w:rsidRDefault="00511F5F" w:rsidP="00511F5F">
            <w:pPr>
              <w:jc w:val="center"/>
              <w:rPr>
                <w:rFonts w:asciiTheme="minorHAnsi" w:hAnsiTheme="minorHAnsi"/>
                <w:b/>
                <w:bCs/>
                <w:sz w:val="20"/>
                <w:szCs w:val="22"/>
              </w:rPr>
            </w:pPr>
            <w:r>
              <w:rPr>
                <w:rFonts w:asciiTheme="minorHAnsi" w:hAnsiTheme="minorHAnsi"/>
                <w:b/>
                <w:bCs/>
                <w:sz w:val="20"/>
                <w:szCs w:val="22"/>
              </w:rPr>
              <w:t>GMC ($/hp)</w:t>
            </w:r>
          </w:p>
        </w:tc>
      </w:tr>
      <w:tr w:rsidR="00511F5F" w:rsidRPr="007A2FAD" w:rsidTr="00511F5F">
        <w:trPr>
          <w:trHeight w:val="255"/>
          <w:jc w:val="center"/>
        </w:trPr>
        <w:tc>
          <w:tcPr>
            <w:tcW w:w="4643" w:type="dxa"/>
            <w:shd w:val="pct5" w:color="000000" w:fill="FFFFFF"/>
            <w:vAlign w:val="bottom"/>
          </w:tcPr>
          <w:p w:rsidR="00511F5F" w:rsidRPr="007A2FAD" w:rsidRDefault="00511F5F" w:rsidP="00960E44">
            <w:pPr>
              <w:rPr>
                <w:rFonts w:asciiTheme="minorHAnsi" w:hAnsiTheme="minorHAnsi"/>
                <w:sz w:val="20"/>
                <w:szCs w:val="22"/>
              </w:rPr>
            </w:pPr>
            <w:r>
              <w:rPr>
                <w:rFonts w:asciiTheme="minorHAnsi" w:hAnsiTheme="minorHAnsi" w:cstheme="minorHAnsi"/>
                <w:sz w:val="20"/>
                <w:szCs w:val="20"/>
              </w:rPr>
              <w:t>≤ 75 HP Variable Speed Drive on Process Fan Control</w:t>
            </w:r>
          </w:p>
        </w:tc>
        <w:tc>
          <w:tcPr>
            <w:tcW w:w="1636" w:type="dxa"/>
            <w:shd w:val="pct5" w:color="000000" w:fill="FFFFFF"/>
            <w:noWrap/>
            <w:vAlign w:val="center"/>
          </w:tcPr>
          <w:p w:rsidR="00511F5F" w:rsidRPr="007A2FAD" w:rsidRDefault="00511F5F" w:rsidP="00CF6DDC">
            <w:pPr>
              <w:jc w:val="center"/>
              <w:rPr>
                <w:rFonts w:asciiTheme="minorHAnsi" w:hAnsiTheme="minorHAnsi"/>
                <w:sz w:val="20"/>
                <w:szCs w:val="22"/>
              </w:rPr>
            </w:pPr>
            <w:r w:rsidRPr="007A2FAD">
              <w:rPr>
                <w:rFonts w:asciiTheme="minorHAnsi" w:hAnsiTheme="minorHAnsi"/>
                <w:sz w:val="20"/>
                <w:szCs w:val="22"/>
              </w:rPr>
              <w:t>$</w:t>
            </w:r>
            <w:r>
              <w:rPr>
                <w:rFonts w:asciiTheme="minorHAnsi" w:hAnsiTheme="minorHAnsi"/>
                <w:sz w:val="20"/>
                <w:szCs w:val="22"/>
              </w:rPr>
              <w:t>196.04</w:t>
            </w:r>
          </w:p>
        </w:tc>
      </w:tr>
    </w:tbl>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3"/>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F56792" w:rsidRPr="00552ED9" w:rsidRDefault="008B4B84" w:rsidP="00E16609">
      <w:pPr>
        <w:pStyle w:val="Reminders"/>
        <w:rPr>
          <w:rFonts w:asciiTheme="minorHAnsi" w:hAnsiTheme="minorHAnsi"/>
          <w:i w:val="0"/>
          <w:color w:val="auto"/>
          <w:sz w:val="22"/>
          <w:szCs w:val="22"/>
        </w:rPr>
      </w:pPr>
      <w:r w:rsidRPr="00237C52">
        <w:rPr>
          <w:rFonts w:asciiTheme="minorHAnsi" w:hAnsiTheme="minorHAnsi"/>
          <w:i w:val="0"/>
          <w:color w:val="auto"/>
          <w:sz w:val="22"/>
          <w:szCs w:val="22"/>
        </w:rPr>
        <w:t>For retrofit add-on measures, the gross measure cost is the full measure cost to purchase and install, as shown in</w:t>
      </w:r>
      <w:r>
        <w:rPr>
          <w:rFonts w:asciiTheme="minorHAnsi" w:hAnsiTheme="minorHAnsi"/>
          <w:i w:val="0"/>
          <w:color w:val="auto"/>
          <w:sz w:val="22"/>
          <w:szCs w:val="22"/>
        </w:rPr>
        <w:t xml:space="preserve"> </w:t>
      </w:r>
      <w:r>
        <w:rPr>
          <w:rFonts w:asciiTheme="minorHAnsi" w:hAnsiTheme="minorHAnsi"/>
          <w:i w:val="0"/>
          <w:color w:val="auto"/>
          <w:sz w:val="22"/>
          <w:szCs w:val="22"/>
        </w:rPr>
        <w:fldChar w:fldCharType="begin"/>
      </w:r>
      <w:r>
        <w:rPr>
          <w:rFonts w:asciiTheme="minorHAnsi" w:hAnsiTheme="minorHAnsi"/>
          <w:i w:val="0"/>
          <w:color w:val="auto"/>
          <w:sz w:val="22"/>
          <w:szCs w:val="22"/>
        </w:rPr>
        <w:instrText xml:space="preserve"> REF _Ref380736378 \h  \* MERGEFORMAT </w:instrText>
      </w:r>
      <w:r>
        <w:rPr>
          <w:rFonts w:asciiTheme="minorHAnsi" w:hAnsiTheme="minorHAnsi"/>
          <w:i w:val="0"/>
          <w:color w:val="auto"/>
          <w:sz w:val="22"/>
          <w:szCs w:val="22"/>
        </w:rPr>
      </w:r>
      <w:r>
        <w:rPr>
          <w:rFonts w:asciiTheme="minorHAnsi" w:hAnsiTheme="minorHAnsi"/>
          <w:i w:val="0"/>
          <w:color w:val="auto"/>
          <w:sz w:val="22"/>
          <w:szCs w:val="22"/>
        </w:rPr>
        <w:fldChar w:fldCharType="separate"/>
      </w:r>
      <w:r w:rsidRPr="008B4B84">
        <w:rPr>
          <w:rFonts w:asciiTheme="minorHAnsi" w:hAnsiTheme="minorHAnsi"/>
          <w:i w:val="0"/>
          <w:color w:val="auto"/>
          <w:sz w:val="22"/>
          <w:szCs w:val="22"/>
        </w:rPr>
        <w:t>Table 10</w:t>
      </w:r>
      <w:r>
        <w:rPr>
          <w:rFonts w:asciiTheme="minorHAnsi" w:hAnsiTheme="minorHAnsi"/>
          <w:i w:val="0"/>
          <w:color w:val="auto"/>
          <w:sz w:val="22"/>
          <w:szCs w:val="22"/>
        </w:rPr>
        <w:fldChar w:fldCharType="end"/>
      </w:r>
      <w:r>
        <w:rPr>
          <w:rFonts w:asciiTheme="minorHAnsi" w:hAnsiTheme="minorHAnsi"/>
          <w:i w:val="0"/>
          <w:color w:val="auto"/>
          <w:sz w:val="22"/>
          <w:szCs w:val="22"/>
        </w:rPr>
        <w:t>.</w:t>
      </w:r>
    </w:p>
    <w:p w:rsidR="005A0E53" w:rsidRPr="005A0E53" w:rsidRDefault="005A0E53" w:rsidP="005A0E53">
      <w:pPr>
        <w:pStyle w:val="Heading3"/>
        <w:rPr>
          <w:rFonts w:asciiTheme="minorHAnsi" w:hAnsiTheme="minorHAnsi"/>
        </w:rPr>
      </w:pPr>
      <w:bookmarkStart w:id="26"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16609" w:rsidRPr="008B4B84" w:rsidRDefault="007A2FAD" w:rsidP="00E16609">
      <w:pPr>
        <w:rPr>
          <w:rFonts w:asciiTheme="minorHAnsi" w:hAnsiTheme="minorHAnsi" w:cstheme="minorHAnsi"/>
          <w:sz w:val="22"/>
          <w:szCs w:val="22"/>
        </w:rPr>
      </w:pPr>
      <w:r w:rsidRPr="007A2FAD">
        <w:rPr>
          <w:rFonts w:asciiTheme="minorHAnsi" w:hAnsiTheme="minorHAnsi" w:cs="Calibri"/>
          <w:sz w:val="22"/>
          <w:szCs w:val="22"/>
        </w:rPr>
        <w:t xml:space="preserve">Incremental Measure Cost (IMC) is the premium cost to install an energy efficient measure over a standard efficiency measure or code baseline measure. </w:t>
      </w:r>
      <w:r w:rsidRPr="007A2FAD">
        <w:rPr>
          <w:rFonts w:asciiTheme="minorHAnsi" w:hAnsiTheme="minorHAnsi"/>
          <w:sz w:val="22"/>
        </w:rPr>
        <w:t xml:space="preserve">For deemed retrofit add-on measures, </w:t>
      </w:r>
      <w:r w:rsidRPr="007A2FAD">
        <w:rPr>
          <w:rFonts w:asciiTheme="minorHAnsi" w:hAnsiTheme="minorHAnsi"/>
          <w:color w:val="003300"/>
          <w:sz w:val="22"/>
        </w:rPr>
        <w:t xml:space="preserve">the IMC is equal to the gross measure cost, as there </w:t>
      </w:r>
      <w:r w:rsidRPr="007A2FAD">
        <w:rPr>
          <w:rFonts w:asciiTheme="minorHAnsi" w:hAnsiTheme="minorHAnsi" w:cs="Calibri"/>
          <w:sz w:val="22"/>
          <w:szCs w:val="22"/>
        </w:rPr>
        <w:t>exists no base case</w:t>
      </w:r>
      <w:r w:rsidRPr="007A2FAD">
        <w:rPr>
          <w:rFonts w:asciiTheme="minorHAnsi" w:hAnsiTheme="minorHAnsi"/>
          <w:color w:val="003300"/>
          <w:sz w:val="22"/>
        </w:rPr>
        <w:t xml:space="preserve"> from </w:t>
      </w:r>
      <w:r w:rsidR="008B4B84">
        <w:rPr>
          <w:rFonts w:asciiTheme="minorHAnsi" w:hAnsiTheme="minorHAnsi"/>
          <w:color w:val="003300"/>
          <w:sz w:val="22"/>
        </w:rPr>
        <w:t>which to compare the measure.</w:t>
      </w:r>
      <w:r w:rsidR="00E16609" w:rsidRPr="007A2FAD">
        <w:rPr>
          <w:rFonts w:asciiTheme="minorHAnsi" w:hAnsiTheme="minorHAnsi" w:cstheme="minorHAnsi"/>
          <w:sz w:val="20"/>
          <w:szCs w:val="22"/>
        </w:rPr>
        <w:br w:type="page"/>
      </w:r>
    </w:p>
    <w:bookmarkEnd w:id="26"/>
    <w:p w:rsidR="00E16609" w:rsidRPr="00697868" w:rsidRDefault="00E16609" w:rsidP="00552ED9">
      <w:pPr>
        <w:pStyle w:val="Heading1"/>
        <w:rPr>
          <w:rFonts w:asciiTheme="minorHAnsi" w:hAnsiTheme="minorHAnsi" w:cstheme="minorHAnsi"/>
        </w:rPr>
      </w:pPr>
      <w:r w:rsidRPr="00697868">
        <w:rPr>
          <w:rFonts w:asciiTheme="minorHAnsi" w:hAnsiTheme="minorHAnsi" w:cstheme="minorHAnsi"/>
        </w:rPr>
        <w:lastRenderedPageBreak/>
        <w:t>Attachments</w:t>
      </w:r>
    </w:p>
    <w:p w:rsidR="003B7A5C" w:rsidRDefault="00552ED9" w:rsidP="004B7992">
      <w:pPr>
        <w:pStyle w:val="Reminders"/>
        <w:rPr>
          <w:rFonts w:asciiTheme="minorHAnsi" w:hAnsiTheme="minorHAnsi" w:cs="Calibri"/>
          <w:sz w:val="22"/>
          <w:szCs w:val="22"/>
        </w:rPr>
      </w:pPr>
      <w:r>
        <w:rPr>
          <w:rFonts w:asciiTheme="minorHAnsi" w:hAnsiTheme="minorHAnsi" w:cs="Calibri"/>
          <w:i w:val="0"/>
          <w:color w:val="auto"/>
          <w:sz w:val="22"/>
          <w:szCs w:val="22"/>
        </w:rPr>
        <w:t>1.</w:t>
      </w:r>
      <w:r w:rsidRPr="004B7992">
        <w:rPr>
          <w:rFonts w:asciiTheme="minorHAnsi" w:hAnsiTheme="minorHAnsi" w:cs="Calibri"/>
          <w:sz w:val="22"/>
          <w:szCs w:val="22"/>
        </w:rPr>
        <w:t xml:space="preserve"> </w:t>
      </w:r>
      <w:bookmarkStart w:id="27" w:name="_MON_1459165945"/>
      <w:bookmarkEnd w:id="27"/>
      <w:r w:rsidR="00546949">
        <w:rPr>
          <w:rFonts w:asciiTheme="minorHAnsi" w:hAnsiTheme="minorHAnsi" w:cs="Calibri"/>
          <w:i w:val="0"/>
          <w:sz w:val="22"/>
          <w:szCs w:val="22"/>
        </w:rPr>
        <w:object w:dxaOrig="1551" w:dyaOrig="991">
          <v:shape id="_x0000_i1036" type="#_x0000_t75" style="width:77.45pt;height:49.6pt" o:ole="">
            <v:imagedata r:id="rId18" o:title=""/>
          </v:shape>
          <o:OLEObject Type="Embed" ProgID="Excel.SheetMacroEnabled.12" ShapeID="_x0000_i1036" DrawAspect="Icon" ObjectID="_1462770515" r:id="rId19"/>
        </w:object>
      </w:r>
      <w:bookmarkStart w:id="28" w:name="_GoBack"/>
      <w:bookmarkEnd w:id="28"/>
    </w:p>
    <w:p w:rsidR="005A78B6" w:rsidRDefault="005A78B6" w:rsidP="00552ED9">
      <w:pPr>
        <w:rPr>
          <w:rFonts w:asciiTheme="minorHAnsi" w:hAnsiTheme="minorHAnsi" w:cs="Calibri"/>
          <w:sz w:val="22"/>
          <w:szCs w:val="22"/>
        </w:rPr>
      </w:pPr>
    </w:p>
    <w:p w:rsidR="00552ED9" w:rsidRDefault="00552ED9" w:rsidP="00552ED9">
      <w:pPr>
        <w:rPr>
          <w:rFonts w:asciiTheme="minorHAnsi" w:hAnsiTheme="minorHAnsi" w:cs="Calibri"/>
          <w:sz w:val="22"/>
          <w:szCs w:val="22"/>
        </w:rPr>
      </w:pPr>
      <w:r>
        <w:rPr>
          <w:rFonts w:asciiTheme="minorHAnsi" w:hAnsiTheme="minorHAnsi" w:cs="Calibri"/>
          <w:sz w:val="22"/>
          <w:szCs w:val="22"/>
        </w:rPr>
        <w:t xml:space="preserve">2. </w:t>
      </w:r>
      <w:bookmarkStart w:id="29" w:name="_MON_1454850203"/>
      <w:bookmarkEnd w:id="29"/>
      <w:r w:rsidR="00E97477">
        <w:rPr>
          <w:rFonts w:asciiTheme="minorHAnsi" w:hAnsiTheme="minorHAnsi" w:cs="Calibri"/>
          <w:sz w:val="22"/>
          <w:szCs w:val="22"/>
        </w:rPr>
        <w:object w:dxaOrig="1551" w:dyaOrig="991">
          <v:shape id="_x0000_i1027" type="#_x0000_t75" style="width:77.45pt;height:49.6pt" o:ole="">
            <v:imagedata r:id="rId20" o:title=""/>
          </v:shape>
          <o:OLEObject Type="Embed" ProgID="Excel.Sheet.12" ShapeID="_x0000_i1027" DrawAspect="Icon" ObjectID="_1462770516" r:id="rId21"/>
        </w:object>
      </w:r>
    </w:p>
    <w:p w:rsidR="005A78B6" w:rsidRDefault="005A78B6" w:rsidP="00552ED9">
      <w:pPr>
        <w:rPr>
          <w:rFonts w:asciiTheme="minorHAnsi" w:hAnsiTheme="minorHAnsi" w:cs="Calibri"/>
          <w:sz w:val="22"/>
          <w:szCs w:val="22"/>
        </w:rPr>
      </w:pPr>
    </w:p>
    <w:p w:rsidR="00552ED9" w:rsidRDefault="00552ED9" w:rsidP="00552ED9">
      <w:pPr>
        <w:rPr>
          <w:rFonts w:asciiTheme="minorHAnsi" w:hAnsiTheme="minorHAnsi" w:cs="Calibri"/>
          <w:sz w:val="22"/>
          <w:szCs w:val="22"/>
        </w:rPr>
      </w:pPr>
      <w:r>
        <w:rPr>
          <w:rFonts w:asciiTheme="minorHAnsi" w:hAnsiTheme="minorHAnsi" w:cs="Calibri"/>
          <w:sz w:val="22"/>
          <w:szCs w:val="22"/>
        </w:rPr>
        <w:t>3.</w:t>
      </w:r>
      <w:r w:rsidR="003B7A5C">
        <w:rPr>
          <w:rFonts w:asciiTheme="minorHAnsi" w:hAnsiTheme="minorHAnsi" w:cs="Calibri"/>
          <w:sz w:val="22"/>
          <w:szCs w:val="22"/>
        </w:rPr>
        <w:t xml:space="preserve"> </w:t>
      </w:r>
      <w:r w:rsidR="003B7A5C">
        <w:rPr>
          <w:rFonts w:asciiTheme="minorHAnsi" w:hAnsiTheme="minorHAnsi" w:cs="Calibri"/>
          <w:sz w:val="22"/>
          <w:szCs w:val="22"/>
        </w:rPr>
        <w:object w:dxaOrig="1551" w:dyaOrig="991">
          <v:shape id="_x0000_i1028" type="#_x0000_t75" style="width:77.45pt;height:49.6pt" o:ole="">
            <v:imagedata r:id="rId22" o:title=""/>
          </v:shape>
          <o:OLEObject Type="Embed" ProgID="Package" ShapeID="_x0000_i1028" DrawAspect="Icon" ObjectID="_1462770517" r:id="rId23"/>
        </w:object>
      </w:r>
    </w:p>
    <w:p w:rsidR="005A78B6" w:rsidRDefault="005A78B6" w:rsidP="00552ED9">
      <w:pPr>
        <w:rPr>
          <w:rFonts w:asciiTheme="minorHAnsi" w:hAnsiTheme="minorHAnsi" w:cs="Calibri"/>
          <w:sz w:val="22"/>
          <w:szCs w:val="22"/>
        </w:rPr>
      </w:pPr>
    </w:p>
    <w:p w:rsidR="00552ED9" w:rsidRDefault="00552ED9" w:rsidP="00552ED9">
      <w:pPr>
        <w:rPr>
          <w:rFonts w:asciiTheme="minorHAnsi" w:hAnsiTheme="minorHAnsi"/>
          <w:sz w:val="22"/>
          <w:szCs w:val="22"/>
        </w:rPr>
      </w:pPr>
      <w:r>
        <w:rPr>
          <w:rFonts w:asciiTheme="minorHAnsi" w:hAnsiTheme="minorHAnsi" w:cs="Calibri"/>
          <w:sz w:val="22"/>
          <w:szCs w:val="22"/>
        </w:rPr>
        <w:t xml:space="preserve">4. </w:t>
      </w:r>
      <w:bookmarkStart w:id="30" w:name="_MON_1454848265"/>
      <w:bookmarkEnd w:id="30"/>
      <w:r w:rsidR="003B7A5C">
        <w:rPr>
          <w:rFonts w:asciiTheme="minorHAnsi" w:hAnsiTheme="minorHAnsi"/>
          <w:sz w:val="22"/>
          <w:szCs w:val="22"/>
        </w:rPr>
        <w:object w:dxaOrig="1551" w:dyaOrig="991">
          <v:shape id="_x0000_i1029" type="#_x0000_t75" style="width:77.45pt;height:49.6pt" o:ole="">
            <v:imagedata r:id="rId24" o:title=""/>
          </v:shape>
          <o:OLEObject Type="Embed" ProgID="Word.Document.12" ShapeID="_x0000_i1029" DrawAspect="Icon" ObjectID="_1462770518" r:id="rId25">
            <o:FieldCodes>\s</o:FieldCodes>
          </o:OLEObject>
        </w:object>
      </w:r>
    </w:p>
    <w:p w:rsidR="00552ED9" w:rsidRDefault="00552ED9" w:rsidP="00552ED9">
      <w:pPr>
        <w:rPr>
          <w:rFonts w:asciiTheme="minorHAnsi" w:hAnsiTheme="minorHAnsi"/>
          <w:sz w:val="22"/>
          <w:szCs w:val="22"/>
        </w:rPr>
      </w:pPr>
    </w:p>
    <w:p w:rsidR="00552ED9" w:rsidRDefault="00552ED9" w:rsidP="00552ED9">
      <w:pPr>
        <w:rPr>
          <w:rFonts w:asciiTheme="minorHAnsi" w:hAnsiTheme="minorHAnsi" w:cs="Calibri"/>
          <w:sz w:val="22"/>
          <w:szCs w:val="22"/>
        </w:rPr>
      </w:pPr>
      <w:r>
        <w:rPr>
          <w:rFonts w:asciiTheme="minorHAnsi" w:hAnsiTheme="minorHAnsi"/>
          <w:sz w:val="22"/>
          <w:szCs w:val="22"/>
        </w:rPr>
        <w:t>5.</w:t>
      </w:r>
      <w:r w:rsidR="003B7A5C">
        <w:rPr>
          <w:rFonts w:asciiTheme="minorHAnsi" w:hAnsiTheme="minorHAnsi"/>
          <w:sz w:val="22"/>
          <w:szCs w:val="22"/>
        </w:rPr>
        <w:t xml:space="preserve"> </w:t>
      </w:r>
      <w:r w:rsidR="003B7A5C">
        <w:rPr>
          <w:rFonts w:asciiTheme="minorHAnsi" w:hAnsiTheme="minorHAnsi"/>
          <w:sz w:val="22"/>
          <w:szCs w:val="22"/>
        </w:rPr>
        <w:object w:dxaOrig="1551" w:dyaOrig="991">
          <v:shape id="_x0000_i1030" type="#_x0000_t75" style="width:77.45pt;height:49.6pt" o:ole="">
            <v:imagedata r:id="rId26" o:title=""/>
          </v:shape>
          <o:OLEObject Type="Embed" ProgID="AcroExch.Document.7" ShapeID="_x0000_i1030" DrawAspect="Icon" ObjectID="_1462770519" r:id="rId27"/>
        </w:object>
      </w:r>
      <w:r w:rsidR="003B7A5C">
        <w:rPr>
          <w:rFonts w:asciiTheme="minorHAnsi" w:hAnsiTheme="minorHAnsi" w:cs="Calibri"/>
          <w:sz w:val="22"/>
          <w:szCs w:val="22"/>
        </w:rPr>
        <w:t xml:space="preserve"> </w:t>
      </w:r>
    </w:p>
    <w:p w:rsidR="00552ED9" w:rsidRDefault="00552ED9" w:rsidP="00552ED9">
      <w:pPr>
        <w:rPr>
          <w:rFonts w:asciiTheme="minorHAnsi" w:hAnsiTheme="minorHAnsi" w:cs="Calibri"/>
          <w:sz w:val="22"/>
          <w:szCs w:val="22"/>
        </w:rPr>
      </w:pPr>
    </w:p>
    <w:p w:rsidR="00C54EFF" w:rsidRPr="005A78B6" w:rsidRDefault="00552ED9" w:rsidP="005A78B6">
      <w:pPr>
        <w:rPr>
          <w:rFonts w:asciiTheme="minorHAnsi" w:hAnsiTheme="minorHAnsi" w:cs="Calibri"/>
          <w:sz w:val="22"/>
          <w:szCs w:val="22"/>
        </w:rPr>
      </w:pPr>
      <w:r>
        <w:rPr>
          <w:rFonts w:asciiTheme="minorHAnsi" w:hAnsiTheme="minorHAnsi" w:cs="Calibri"/>
          <w:sz w:val="22"/>
          <w:szCs w:val="22"/>
        </w:rPr>
        <w:t xml:space="preserve">6. </w:t>
      </w:r>
      <w:bookmarkStart w:id="31" w:name="_MON_1454914277"/>
      <w:bookmarkEnd w:id="31"/>
      <w:r w:rsidR="00371AA7">
        <w:rPr>
          <w:rFonts w:asciiTheme="minorHAnsi" w:hAnsiTheme="minorHAnsi" w:cs="Calibri"/>
          <w:sz w:val="22"/>
          <w:szCs w:val="22"/>
        </w:rPr>
        <w:object w:dxaOrig="1551" w:dyaOrig="991">
          <v:shape id="_x0000_i1031" type="#_x0000_t75" style="width:77.45pt;height:49.6pt" o:ole="">
            <v:imagedata r:id="rId28" o:title=""/>
          </v:shape>
          <o:OLEObject Type="Embed" ProgID="Excel.Sheet.12" ShapeID="_x0000_i1031" DrawAspect="Icon" ObjectID="_1462770520" r:id="rId29"/>
        </w:object>
      </w:r>
      <w:r w:rsidR="003B7A5C" w:rsidRPr="00697868">
        <w:rPr>
          <w:rFonts w:asciiTheme="minorHAnsi" w:hAnsiTheme="minorHAnsi" w:cstheme="minorHAnsi"/>
        </w:rPr>
        <w:t xml:space="preserve"> </w:t>
      </w:r>
      <w:r w:rsidR="00C54EFF" w:rsidRPr="00697868">
        <w:rPr>
          <w:rFonts w:asciiTheme="minorHAnsi" w:hAnsiTheme="minorHAnsi" w:cstheme="minorHAnsi"/>
        </w:rPr>
        <w:br w:type="page"/>
      </w:r>
    </w:p>
    <w:p w:rsidR="009824E9" w:rsidRDefault="00006E35" w:rsidP="00006E35">
      <w:pPr>
        <w:pStyle w:val="Heading1"/>
        <w:rPr>
          <w:rFonts w:asciiTheme="minorHAnsi" w:hAnsiTheme="minorHAnsi" w:cstheme="minorHAnsi"/>
        </w:rPr>
      </w:pPr>
      <w:r>
        <w:rPr>
          <w:rFonts w:asciiTheme="minorHAnsi" w:hAnsiTheme="minorHAnsi" w:cstheme="minorHAnsi"/>
        </w:rPr>
        <w:lastRenderedPageBreak/>
        <w:t>References</w:t>
      </w:r>
    </w:p>
    <w:bookmarkStart w:id="32" w:name="_MON_1454916288"/>
    <w:bookmarkEnd w:id="32"/>
    <w:p w:rsidR="009824E9" w:rsidRDefault="000A4A89" w:rsidP="009824E9">
      <w:pPr>
        <w:rPr>
          <w:rFonts w:asciiTheme="minorHAnsi" w:hAnsiTheme="minorHAnsi" w:cstheme="minorHAnsi"/>
          <w:sz w:val="22"/>
          <w:szCs w:val="22"/>
        </w:rPr>
      </w:pPr>
      <w:r>
        <w:rPr>
          <w:rFonts w:asciiTheme="minorHAnsi" w:hAnsiTheme="minorHAnsi" w:cstheme="minorHAnsi"/>
          <w:sz w:val="22"/>
          <w:szCs w:val="22"/>
        </w:rPr>
        <w:object w:dxaOrig="1551" w:dyaOrig="991">
          <v:shape id="_x0000_i1032" type="#_x0000_t75" style="width:77.45pt;height:49.6pt" o:ole="">
            <v:imagedata r:id="rId30" o:title=""/>
          </v:shape>
          <o:OLEObject Type="Embed" ProgID="Excel.Sheet.12" ShapeID="_x0000_i1032" DrawAspect="Icon" ObjectID="_1462770521" r:id="rId31"/>
        </w:object>
      </w:r>
    </w:p>
    <w:p w:rsidR="000A6DB2" w:rsidRPr="00661666" w:rsidRDefault="000A6DB2" w:rsidP="009824E9">
      <w:pPr>
        <w:rPr>
          <w:rFonts w:asciiTheme="minorHAnsi" w:hAnsiTheme="minorHAnsi" w:cstheme="minorHAnsi"/>
          <w:sz w:val="22"/>
          <w:szCs w:val="22"/>
        </w:rPr>
      </w:pPr>
    </w:p>
    <w:p w:rsidR="00FB2026" w:rsidRPr="00FB2026" w:rsidRDefault="00FB2026" w:rsidP="00CF6DDC">
      <w:pPr>
        <w:rPr>
          <w:rFonts w:ascii="Calibri" w:hAnsi="Calibri"/>
          <w:color w:val="000000"/>
          <w:sz w:val="22"/>
          <w:szCs w:val="22"/>
        </w:rPr>
      </w:pPr>
      <w:r>
        <w:rPr>
          <w:rFonts w:asciiTheme="minorHAnsi" w:hAnsiTheme="minorHAnsi" w:cstheme="minorHAnsi"/>
          <w:sz w:val="22"/>
          <w:szCs w:val="22"/>
        </w:rPr>
        <w:t xml:space="preserve">[31] </w:t>
      </w:r>
      <w:r w:rsidRPr="00FB2026">
        <w:rPr>
          <w:rFonts w:ascii="Calibri" w:hAnsi="Calibri"/>
          <w:color w:val="000000"/>
          <w:sz w:val="22"/>
          <w:szCs w:val="22"/>
        </w:rPr>
        <w:t>Load Shape Update Initiative - KEMA / JJ Hirsch and Assoc. /</w:t>
      </w:r>
      <w:r>
        <w:rPr>
          <w:rFonts w:ascii="Calibri" w:hAnsi="Calibri"/>
          <w:color w:val="000000"/>
          <w:sz w:val="22"/>
          <w:szCs w:val="22"/>
        </w:rPr>
        <w:t xml:space="preserve"> Itron Inc. - November 17, 2006</w:t>
      </w:r>
    </w:p>
    <w:p w:rsidR="00FB2026" w:rsidRPr="00FB2026" w:rsidRDefault="00FB2026" w:rsidP="00FB2026">
      <w:pPr>
        <w:rPr>
          <w:rFonts w:ascii="Calibri" w:hAnsi="Calibri"/>
          <w:color w:val="000000"/>
          <w:sz w:val="22"/>
          <w:szCs w:val="22"/>
        </w:rPr>
      </w:pPr>
      <w:r>
        <w:rPr>
          <w:rFonts w:asciiTheme="minorHAnsi" w:hAnsiTheme="minorHAnsi" w:cstheme="minorHAnsi"/>
          <w:sz w:val="22"/>
          <w:szCs w:val="22"/>
        </w:rPr>
        <w:t>[351]</w:t>
      </w:r>
      <w:r w:rsidRPr="00FB2026">
        <w:rPr>
          <w:rFonts w:ascii="Calibri" w:hAnsi="Calibri"/>
          <w:color w:val="000000"/>
          <w:sz w:val="22"/>
          <w:szCs w:val="22"/>
        </w:rPr>
        <w:t xml:space="preserve"> Energy Efficiency Policy Manual-Version 5</w:t>
      </w:r>
    </w:p>
    <w:p w:rsidR="00FB2026" w:rsidRPr="00FB2026" w:rsidRDefault="00C5076C" w:rsidP="00FB2026">
      <w:pPr>
        <w:rPr>
          <w:rFonts w:ascii="Calibri" w:hAnsi="Calibri"/>
          <w:color w:val="000000"/>
          <w:sz w:val="22"/>
          <w:szCs w:val="22"/>
        </w:rPr>
      </w:pPr>
      <w:r>
        <w:rPr>
          <w:rFonts w:asciiTheme="minorHAnsi" w:hAnsiTheme="minorHAnsi" w:cstheme="minorHAnsi"/>
          <w:sz w:val="22"/>
          <w:szCs w:val="22"/>
        </w:rPr>
        <w:t>[353]</w:t>
      </w:r>
      <w:r w:rsidR="00FB2026" w:rsidRPr="00FB2026">
        <w:rPr>
          <w:rFonts w:ascii="Calibri" w:hAnsi="Calibri"/>
          <w:color w:val="000000"/>
          <w:sz w:val="22"/>
          <w:szCs w:val="22"/>
        </w:rPr>
        <w:t xml:space="preserve"> UI and CL&amp;P Program Savings Documentation for 2011 Program Year</w:t>
      </w:r>
    </w:p>
    <w:p w:rsidR="00FB2026" w:rsidRPr="00FB2026" w:rsidRDefault="00FB2026" w:rsidP="00FB2026">
      <w:pPr>
        <w:rPr>
          <w:rFonts w:ascii="Calibri" w:hAnsi="Calibri"/>
          <w:color w:val="000000"/>
          <w:sz w:val="22"/>
          <w:szCs w:val="22"/>
        </w:rPr>
      </w:pPr>
      <w:r>
        <w:rPr>
          <w:rFonts w:asciiTheme="minorHAnsi" w:hAnsiTheme="minorHAnsi" w:cstheme="minorHAnsi"/>
          <w:sz w:val="22"/>
          <w:szCs w:val="22"/>
        </w:rPr>
        <w:t>[355]</w:t>
      </w:r>
      <w:r w:rsidRPr="00FB2026">
        <w:rPr>
          <w:rFonts w:ascii="Calibri" w:hAnsi="Calibri"/>
          <w:color w:val="000000"/>
          <w:sz w:val="22"/>
          <w:szCs w:val="22"/>
        </w:rPr>
        <w:t xml:space="preserve"> 2013 Building Energy Efficiency Standards for Residential and Nonresidential Buildings (Title 24)</w:t>
      </w:r>
    </w:p>
    <w:p w:rsidR="00FB2026" w:rsidRPr="00FB2026" w:rsidRDefault="003743FF" w:rsidP="00FB2026">
      <w:pPr>
        <w:rPr>
          <w:rFonts w:ascii="Calibri" w:hAnsi="Calibri"/>
          <w:color w:val="000000"/>
          <w:sz w:val="22"/>
          <w:szCs w:val="22"/>
        </w:rPr>
      </w:pPr>
      <w:r>
        <w:rPr>
          <w:rFonts w:asciiTheme="minorHAnsi" w:hAnsiTheme="minorHAnsi" w:cstheme="minorHAnsi"/>
          <w:sz w:val="22"/>
          <w:szCs w:val="22"/>
        </w:rPr>
        <w:t>[357]</w:t>
      </w:r>
      <w:r w:rsidR="00FB2026" w:rsidRPr="00FB2026">
        <w:rPr>
          <w:rFonts w:ascii="Calibri" w:hAnsi="Calibri"/>
          <w:color w:val="000000"/>
          <w:sz w:val="22"/>
          <w:szCs w:val="22"/>
        </w:rPr>
        <w:t xml:space="preserve"> NEMA Premium Product Scope and Nominal Efficiency Levels</w:t>
      </w:r>
    </w:p>
    <w:p w:rsidR="00FB2026" w:rsidRPr="00FB2026" w:rsidRDefault="00E211C5" w:rsidP="00FB2026">
      <w:pPr>
        <w:rPr>
          <w:rFonts w:ascii="Calibri" w:hAnsi="Calibri"/>
          <w:color w:val="000000"/>
          <w:sz w:val="22"/>
          <w:szCs w:val="22"/>
        </w:rPr>
      </w:pPr>
      <w:r>
        <w:rPr>
          <w:rFonts w:asciiTheme="minorHAnsi" w:hAnsiTheme="minorHAnsi" w:cs="Calibri"/>
          <w:sz w:val="22"/>
          <w:szCs w:val="22"/>
        </w:rPr>
        <w:t>[358]</w:t>
      </w:r>
      <w:r w:rsidR="00FB2026">
        <w:rPr>
          <w:rFonts w:asciiTheme="minorHAnsi" w:hAnsiTheme="minorHAnsi" w:cs="Calibri"/>
          <w:sz w:val="22"/>
          <w:szCs w:val="22"/>
        </w:rPr>
        <w:t xml:space="preserve"> </w:t>
      </w:r>
      <w:r w:rsidR="00FB2026" w:rsidRPr="00FB2026">
        <w:rPr>
          <w:rFonts w:ascii="Calibri" w:hAnsi="Calibri"/>
          <w:color w:val="000000"/>
          <w:sz w:val="22"/>
          <w:szCs w:val="22"/>
        </w:rPr>
        <w:t>RSMeans Electrical Cost Data 2012</w:t>
      </w:r>
    </w:p>
    <w:p w:rsidR="00D01AAC" w:rsidRPr="00661666" w:rsidRDefault="00D01AAC" w:rsidP="00661666">
      <w:pPr>
        <w:pStyle w:val="Reminders"/>
        <w:rPr>
          <w:rFonts w:asciiTheme="minorHAnsi" w:hAnsiTheme="minorHAnsi" w:cstheme="minorHAnsi"/>
          <w:i w:val="0"/>
          <w:color w:val="auto"/>
          <w:sz w:val="22"/>
          <w:szCs w:val="22"/>
        </w:rPr>
        <w:sectPr w:rsidR="00D01AAC" w:rsidRPr="00661666"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11394F">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11394F">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11394F">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11394F">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11394F">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11394F">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11394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11394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11394F">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11394F">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11394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11394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11394F">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11394F">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11394F">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11394F">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11394F">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11394F">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11394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11394F">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11394F">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11394F">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11394F">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11394F">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11394F">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11394F">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p w:rsidR="003473FB" w:rsidRPr="00697868" w:rsidRDefault="003473FB">
      <w:pPr>
        <w:rPr>
          <w:rFonts w:asciiTheme="minorHAnsi" w:hAnsiTheme="minorHAnsi" w:cstheme="minorHAnsi"/>
        </w:rPr>
      </w:pPr>
    </w:p>
    <w:sectPr w:rsidR="003473FB" w:rsidRPr="00697868" w:rsidSect="00CE28CF">
      <w:footerReference w:type="default" r:id="rId32"/>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4C21" w:rsidRDefault="004D4C21" w:rsidP="00447D6E">
      <w:r>
        <w:separator/>
      </w:r>
    </w:p>
  </w:endnote>
  <w:endnote w:type="continuationSeparator" w:id="0">
    <w:p w:rsidR="004D4C21" w:rsidRDefault="004D4C21"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C21" w:rsidRPr="009500DC" w:rsidRDefault="004D4C21" w:rsidP="00447D6E">
    <w:pPr>
      <w:pStyle w:val="Footer"/>
      <w:jc w:val="right"/>
      <w:rPr>
        <w:rFonts w:asciiTheme="minorHAnsi" w:hAnsiTheme="minorHAnsi" w:cstheme="minorHAnsi"/>
      </w:rPr>
    </w:pPr>
    <w:r>
      <w:rPr>
        <w:rFonts w:asciiTheme="minorHAnsi" w:hAnsiTheme="minorHAnsi" w:cstheme="minorHAnsi"/>
        <w:b/>
        <w:sz w:val="36"/>
        <w:szCs w:val="36"/>
      </w:rPr>
      <w:t>April 16,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C21" w:rsidRPr="009500DC" w:rsidRDefault="004D4C21"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SCE13PR008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546949">
      <w:rPr>
        <w:rFonts w:asciiTheme="minorHAnsi" w:hAnsiTheme="minorHAnsi" w:cstheme="minorHAnsi"/>
        <w:b/>
        <w:noProof/>
        <w:sz w:val="20"/>
        <w:szCs w:val="20"/>
      </w:rPr>
      <w:t>ii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16, 2014</w:t>
    </w:r>
  </w:p>
  <w:p w:rsidR="004D4C21" w:rsidRPr="009500DC" w:rsidRDefault="004D4C21"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C21" w:rsidRPr="009500DC" w:rsidRDefault="004D4C21"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SCE13PR008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546949">
      <w:rPr>
        <w:rFonts w:asciiTheme="minorHAnsi" w:hAnsiTheme="minorHAnsi" w:cstheme="minorHAnsi"/>
        <w:b/>
        <w:noProof/>
        <w:sz w:val="20"/>
        <w:szCs w:val="20"/>
      </w:rPr>
      <w:t>11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16, 2014</w:t>
    </w:r>
  </w:p>
  <w:p w:rsidR="004D4C21" w:rsidRPr="009500DC" w:rsidRDefault="004D4C21"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4C21" w:rsidRDefault="004D4C21" w:rsidP="00447D6E">
      <w:r>
        <w:separator/>
      </w:r>
    </w:p>
  </w:footnote>
  <w:footnote w:type="continuationSeparator" w:id="0">
    <w:p w:rsidR="004D4C21" w:rsidRDefault="004D4C21"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7AF0096"/>
    <w:multiLevelType w:val="hybridMultilevel"/>
    <w:tmpl w:val="3C5A9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FB079D"/>
    <w:multiLevelType w:val="hybridMultilevel"/>
    <w:tmpl w:val="838E4A2A"/>
    <w:lvl w:ilvl="0" w:tplc="53D22D7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C24B46"/>
    <w:multiLevelType w:val="hybridMultilevel"/>
    <w:tmpl w:val="439635C4"/>
    <w:lvl w:ilvl="0" w:tplc="0409000F">
      <w:start w:val="1"/>
      <w:numFmt w:val="decimal"/>
      <w:lvlText w:val="%1."/>
      <w:lvlJc w:val="left"/>
      <w:pPr>
        <w:ind w:left="1080" w:hanging="360"/>
      </w:pPr>
    </w:lvl>
    <w:lvl w:ilvl="1" w:tplc="04090015">
      <w:start w:val="1"/>
      <w:numFmt w:val="upp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21D77F57"/>
    <w:multiLevelType w:val="hybridMultilevel"/>
    <w:tmpl w:val="FEF0D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5">
    <w:nsid w:val="25B67FA0"/>
    <w:multiLevelType w:val="hybridMultilevel"/>
    <w:tmpl w:val="F1362B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318F6935"/>
    <w:multiLevelType w:val="hybridMultilevel"/>
    <w:tmpl w:val="ADFC1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9E13429"/>
    <w:multiLevelType w:val="hybridMultilevel"/>
    <w:tmpl w:val="B2A62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2A3331E"/>
    <w:multiLevelType w:val="hybridMultilevel"/>
    <w:tmpl w:val="9F9E0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8581CA0"/>
    <w:multiLevelType w:val="hybridMultilevel"/>
    <w:tmpl w:val="98125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F2874AB"/>
    <w:multiLevelType w:val="hybridMultilevel"/>
    <w:tmpl w:val="2E2CB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0"/>
  </w:num>
  <w:num w:numId="3">
    <w:abstractNumId w:val="8"/>
  </w:num>
  <w:num w:numId="4">
    <w:abstractNumId w:val="6"/>
  </w:num>
  <w:num w:numId="5">
    <w:abstractNumId w:val="6"/>
  </w:num>
  <w:num w:numId="6">
    <w:abstractNumId w:val="0"/>
  </w:num>
  <w:num w:numId="7">
    <w:abstractNumId w:val="11"/>
  </w:num>
  <w:num w:numId="8">
    <w:abstractNumId w:val="7"/>
  </w:num>
  <w:num w:numId="9">
    <w:abstractNumId w:val="13"/>
  </w:num>
  <w:num w:numId="10">
    <w:abstractNumId w:val="9"/>
  </w:num>
  <w:num w:numId="11">
    <w:abstractNumId w:val="15"/>
  </w:num>
  <w:num w:numId="12">
    <w:abstractNumId w:val="2"/>
  </w:num>
  <w:num w:numId="13">
    <w:abstractNumId w:val="5"/>
  </w:num>
  <w:num w:numId="14">
    <w:abstractNumId w:val="16"/>
  </w:num>
  <w:num w:numId="15">
    <w:abstractNumId w:val="3"/>
  </w:num>
  <w:num w:numId="16">
    <w:abstractNumId w:val="14"/>
  </w:num>
  <w:num w:numId="17">
    <w:abstractNumId w:val="12"/>
  </w:num>
  <w:num w:numId="18">
    <w:abstractNumId w:val="1"/>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06E35"/>
    <w:rsid w:val="00027183"/>
    <w:rsid w:val="00033EA1"/>
    <w:rsid w:val="0003480C"/>
    <w:rsid w:val="00056947"/>
    <w:rsid w:val="00076DF4"/>
    <w:rsid w:val="0009074D"/>
    <w:rsid w:val="0009592B"/>
    <w:rsid w:val="000968C6"/>
    <w:rsid w:val="000A2A20"/>
    <w:rsid w:val="000A4A89"/>
    <w:rsid w:val="000A63C9"/>
    <w:rsid w:val="000A6DB2"/>
    <w:rsid w:val="000B7660"/>
    <w:rsid w:val="000C0000"/>
    <w:rsid w:val="000C18CC"/>
    <w:rsid w:val="000D1FC5"/>
    <w:rsid w:val="000D54D5"/>
    <w:rsid w:val="000D6D6F"/>
    <w:rsid w:val="000F130A"/>
    <w:rsid w:val="00107242"/>
    <w:rsid w:val="00107334"/>
    <w:rsid w:val="0011394F"/>
    <w:rsid w:val="001206F7"/>
    <w:rsid w:val="00147155"/>
    <w:rsid w:val="00153CB3"/>
    <w:rsid w:val="00165357"/>
    <w:rsid w:val="00173488"/>
    <w:rsid w:val="00177819"/>
    <w:rsid w:val="001811EE"/>
    <w:rsid w:val="001A0EB4"/>
    <w:rsid w:val="001A5F62"/>
    <w:rsid w:val="001B4531"/>
    <w:rsid w:val="001B618B"/>
    <w:rsid w:val="001C4140"/>
    <w:rsid w:val="001C5A94"/>
    <w:rsid w:val="001D3B23"/>
    <w:rsid w:val="001D491F"/>
    <w:rsid w:val="001E0829"/>
    <w:rsid w:val="001F05CE"/>
    <w:rsid w:val="001F4A65"/>
    <w:rsid w:val="002151D5"/>
    <w:rsid w:val="0023254A"/>
    <w:rsid w:val="00240B74"/>
    <w:rsid w:val="00274FBE"/>
    <w:rsid w:val="002762E1"/>
    <w:rsid w:val="002811BC"/>
    <w:rsid w:val="00283DE8"/>
    <w:rsid w:val="00285966"/>
    <w:rsid w:val="00290ED8"/>
    <w:rsid w:val="002A3D26"/>
    <w:rsid w:val="002B1ADF"/>
    <w:rsid w:val="002C444C"/>
    <w:rsid w:val="002C46A1"/>
    <w:rsid w:val="002C6C7A"/>
    <w:rsid w:val="002D250A"/>
    <w:rsid w:val="002F1437"/>
    <w:rsid w:val="002F3943"/>
    <w:rsid w:val="002F40CF"/>
    <w:rsid w:val="00303635"/>
    <w:rsid w:val="0030363A"/>
    <w:rsid w:val="0032150D"/>
    <w:rsid w:val="003233DC"/>
    <w:rsid w:val="00332700"/>
    <w:rsid w:val="00343933"/>
    <w:rsid w:val="00345D80"/>
    <w:rsid w:val="003471D4"/>
    <w:rsid w:val="003473FB"/>
    <w:rsid w:val="003560BA"/>
    <w:rsid w:val="00371AA7"/>
    <w:rsid w:val="003743FF"/>
    <w:rsid w:val="003832D2"/>
    <w:rsid w:val="003B2925"/>
    <w:rsid w:val="003B4DD3"/>
    <w:rsid w:val="003B7A5C"/>
    <w:rsid w:val="003C2B9F"/>
    <w:rsid w:val="003C6B36"/>
    <w:rsid w:val="003D2871"/>
    <w:rsid w:val="003D54F3"/>
    <w:rsid w:val="003D5B83"/>
    <w:rsid w:val="003E6E47"/>
    <w:rsid w:val="003F0623"/>
    <w:rsid w:val="003F668F"/>
    <w:rsid w:val="003F6F66"/>
    <w:rsid w:val="0041123E"/>
    <w:rsid w:val="00413CDB"/>
    <w:rsid w:val="004200FE"/>
    <w:rsid w:val="00421183"/>
    <w:rsid w:val="00441957"/>
    <w:rsid w:val="00443D32"/>
    <w:rsid w:val="00445DF4"/>
    <w:rsid w:val="00447CE5"/>
    <w:rsid w:val="00447D6E"/>
    <w:rsid w:val="0046286E"/>
    <w:rsid w:val="00467E1C"/>
    <w:rsid w:val="00471234"/>
    <w:rsid w:val="00477522"/>
    <w:rsid w:val="004931A1"/>
    <w:rsid w:val="00493457"/>
    <w:rsid w:val="00494628"/>
    <w:rsid w:val="00497FB8"/>
    <w:rsid w:val="004B01F8"/>
    <w:rsid w:val="004B4A3A"/>
    <w:rsid w:val="004B7992"/>
    <w:rsid w:val="004C23F1"/>
    <w:rsid w:val="004D3B93"/>
    <w:rsid w:val="004D4C21"/>
    <w:rsid w:val="004E01F5"/>
    <w:rsid w:val="004E76CA"/>
    <w:rsid w:val="0051020F"/>
    <w:rsid w:val="00511F5F"/>
    <w:rsid w:val="005160D9"/>
    <w:rsid w:val="00520216"/>
    <w:rsid w:val="00520408"/>
    <w:rsid w:val="00537055"/>
    <w:rsid w:val="005419BC"/>
    <w:rsid w:val="00543AC1"/>
    <w:rsid w:val="00546949"/>
    <w:rsid w:val="00547127"/>
    <w:rsid w:val="00552ED9"/>
    <w:rsid w:val="00560934"/>
    <w:rsid w:val="00564960"/>
    <w:rsid w:val="005734A4"/>
    <w:rsid w:val="00582374"/>
    <w:rsid w:val="005A0E53"/>
    <w:rsid w:val="005A1078"/>
    <w:rsid w:val="005A78B6"/>
    <w:rsid w:val="005B28C1"/>
    <w:rsid w:val="005C2E48"/>
    <w:rsid w:val="005D4DD7"/>
    <w:rsid w:val="005D53E7"/>
    <w:rsid w:val="005E12A9"/>
    <w:rsid w:val="00602799"/>
    <w:rsid w:val="00612041"/>
    <w:rsid w:val="006162EB"/>
    <w:rsid w:val="006404E6"/>
    <w:rsid w:val="00641C5C"/>
    <w:rsid w:val="00647ABE"/>
    <w:rsid w:val="00661666"/>
    <w:rsid w:val="00664B05"/>
    <w:rsid w:val="00693E5C"/>
    <w:rsid w:val="00697868"/>
    <w:rsid w:val="006A055F"/>
    <w:rsid w:val="006A5293"/>
    <w:rsid w:val="006B0DF3"/>
    <w:rsid w:val="006B4A48"/>
    <w:rsid w:val="006C430A"/>
    <w:rsid w:val="006D2809"/>
    <w:rsid w:val="006E3342"/>
    <w:rsid w:val="006E484C"/>
    <w:rsid w:val="006E4B12"/>
    <w:rsid w:val="006F4336"/>
    <w:rsid w:val="007048AC"/>
    <w:rsid w:val="007249D0"/>
    <w:rsid w:val="00725236"/>
    <w:rsid w:val="00731F4B"/>
    <w:rsid w:val="00733C7D"/>
    <w:rsid w:val="00740761"/>
    <w:rsid w:val="00740AD2"/>
    <w:rsid w:val="00745F77"/>
    <w:rsid w:val="0076181D"/>
    <w:rsid w:val="00764D0D"/>
    <w:rsid w:val="00783A3A"/>
    <w:rsid w:val="007933F1"/>
    <w:rsid w:val="007A2FAD"/>
    <w:rsid w:val="007E3801"/>
    <w:rsid w:val="007E43F8"/>
    <w:rsid w:val="007E656B"/>
    <w:rsid w:val="007F0E10"/>
    <w:rsid w:val="007F467A"/>
    <w:rsid w:val="007F50E8"/>
    <w:rsid w:val="007F7FBA"/>
    <w:rsid w:val="00800319"/>
    <w:rsid w:val="00801F7F"/>
    <w:rsid w:val="00817B5E"/>
    <w:rsid w:val="00824F1C"/>
    <w:rsid w:val="00827D24"/>
    <w:rsid w:val="008615BE"/>
    <w:rsid w:val="00881A42"/>
    <w:rsid w:val="00885E0A"/>
    <w:rsid w:val="0088603B"/>
    <w:rsid w:val="00893FC3"/>
    <w:rsid w:val="0089577B"/>
    <w:rsid w:val="008A0016"/>
    <w:rsid w:val="008A7590"/>
    <w:rsid w:val="008B499C"/>
    <w:rsid w:val="008B4B84"/>
    <w:rsid w:val="008B6825"/>
    <w:rsid w:val="008C2E0E"/>
    <w:rsid w:val="008D56EE"/>
    <w:rsid w:val="008E17CC"/>
    <w:rsid w:val="008E243E"/>
    <w:rsid w:val="008E3459"/>
    <w:rsid w:val="008F33B4"/>
    <w:rsid w:val="0090077A"/>
    <w:rsid w:val="009138A0"/>
    <w:rsid w:val="00922B85"/>
    <w:rsid w:val="00937A48"/>
    <w:rsid w:val="009500DC"/>
    <w:rsid w:val="00951923"/>
    <w:rsid w:val="00960E44"/>
    <w:rsid w:val="00972C81"/>
    <w:rsid w:val="009824E9"/>
    <w:rsid w:val="00995CB0"/>
    <w:rsid w:val="00997E77"/>
    <w:rsid w:val="009A2734"/>
    <w:rsid w:val="009B5B7B"/>
    <w:rsid w:val="009C1777"/>
    <w:rsid w:val="009C2C86"/>
    <w:rsid w:val="009D0753"/>
    <w:rsid w:val="009E0929"/>
    <w:rsid w:val="009E1802"/>
    <w:rsid w:val="009E1CDE"/>
    <w:rsid w:val="009E51E2"/>
    <w:rsid w:val="009E68D7"/>
    <w:rsid w:val="009F7A61"/>
    <w:rsid w:val="00A02CA5"/>
    <w:rsid w:val="00A053F8"/>
    <w:rsid w:val="00A11AD3"/>
    <w:rsid w:val="00A11C16"/>
    <w:rsid w:val="00A1423E"/>
    <w:rsid w:val="00A40FA8"/>
    <w:rsid w:val="00A500D6"/>
    <w:rsid w:val="00A86DA2"/>
    <w:rsid w:val="00AA0C37"/>
    <w:rsid w:val="00AB21F5"/>
    <w:rsid w:val="00AB3386"/>
    <w:rsid w:val="00AC5309"/>
    <w:rsid w:val="00AD4DD0"/>
    <w:rsid w:val="00AD6D86"/>
    <w:rsid w:val="00AE1E94"/>
    <w:rsid w:val="00AF6342"/>
    <w:rsid w:val="00B053FB"/>
    <w:rsid w:val="00B07EE5"/>
    <w:rsid w:val="00B26778"/>
    <w:rsid w:val="00B26B83"/>
    <w:rsid w:val="00B32479"/>
    <w:rsid w:val="00B403ED"/>
    <w:rsid w:val="00B866B4"/>
    <w:rsid w:val="00B94D7B"/>
    <w:rsid w:val="00BA590A"/>
    <w:rsid w:val="00BB0B39"/>
    <w:rsid w:val="00BB5F75"/>
    <w:rsid w:val="00BD3931"/>
    <w:rsid w:val="00BD5B88"/>
    <w:rsid w:val="00BE1B76"/>
    <w:rsid w:val="00C24D03"/>
    <w:rsid w:val="00C25E61"/>
    <w:rsid w:val="00C334E5"/>
    <w:rsid w:val="00C46C48"/>
    <w:rsid w:val="00C5076C"/>
    <w:rsid w:val="00C54EFF"/>
    <w:rsid w:val="00C5690D"/>
    <w:rsid w:val="00C72B8B"/>
    <w:rsid w:val="00C9543E"/>
    <w:rsid w:val="00CA2AB4"/>
    <w:rsid w:val="00CB0100"/>
    <w:rsid w:val="00CE12FE"/>
    <w:rsid w:val="00CE28CF"/>
    <w:rsid w:val="00CE5BEB"/>
    <w:rsid w:val="00CE6394"/>
    <w:rsid w:val="00CE69E9"/>
    <w:rsid w:val="00CF5119"/>
    <w:rsid w:val="00CF6DDC"/>
    <w:rsid w:val="00D01AAC"/>
    <w:rsid w:val="00D01C6E"/>
    <w:rsid w:val="00D20C5C"/>
    <w:rsid w:val="00D25074"/>
    <w:rsid w:val="00D276D5"/>
    <w:rsid w:val="00D27BCA"/>
    <w:rsid w:val="00D36798"/>
    <w:rsid w:val="00D608A7"/>
    <w:rsid w:val="00D664CC"/>
    <w:rsid w:val="00D7380B"/>
    <w:rsid w:val="00D75D77"/>
    <w:rsid w:val="00D9459C"/>
    <w:rsid w:val="00DA11A0"/>
    <w:rsid w:val="00DA31B9"/>
    <w:rsid w:val="00DA4CB3"/>
    <w:rsid w:val="00DA690B"/>
    <w:rsid w:val="00DA7225"/>
    <w:rsid w:val="00DF2EE9"/>
    <w:rsid w:val="00E07752"/>
    <w:rsid w:val="00E12A4C"/>
    <w:rsid w:val="00E16609"/>
    <w:rsid w:val="00E16F08"/>
    <w:rsid w:val="00E211C5"/>
    <w:rsid w:val="00E233F3"/>
    <w:rsid w:val="00E37F72"/>
    <w:rsid w:val="00E42A30"/>
    <w:rsid w:val="00E81F3E"/>
    <w:rsid w:val="00E859BD"/>
    <w:rsid w:val="00E96759"/>
    <w:rsid w:val="00E97477"/>
    <w:rsid w:val="00EB34FC"/>
    <w:rsid w:val="00EB76E1"/>
    <w:rsid w:val="00EC2278"/>
    <w:rsid w:val="00ED79D1"/>
    <w:rsid w:val="00EE7437"/>
    <w:rsid w:val="00EF5416"/>
    <w:rsid w:val="00F06CCF"/>
    <w:rsid w:val="00F20DCF"/>
    <w:rsid w:val="00F23A21"/>
    <w:rsid w:val="00F31E19"/>
    <w:rsid w:val="00F41762"/>
    <w:rsid w:val="00F4752B"/>
    <w:rsid w:val="00F56792"/>
    <w:rsid w:val="00F60E32"/>
    <w:rsid w:val="00F613E6"/>
    <w:rsid w:val="00F7242E"/>
    <w:rsid w:val="00FB2026"/>
    <w:rsid w:val="00FB70C5"/>
    <w:rsid w:val="00FD5510"/>
    <w:rsid w:val="00FD5A8C"/>
    <w:rsid w:val="00FE3233"/>
    <w:rsid w:val="00FF74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uiPriority w:val="99"/>
    <w:rsid w:val="00E16609"/>
    <w:pPr>
      <w:spacing w:before="40" w:after="40"/>
    </w:pPr>
    <w:rPr>
      <w:rFonts w:ascii="Trebuchet MS" w:hAnsi="Trebuchet MS"/>
      <w:i/>
      <w:color w:val="FF0000"/>
    </w:rPr>
  </w:style>
  <w:style w:type="paragraph" w:customStyle="1" w:styleId="Reminder">
    <w:name w:val="Reminder"/>
    <w:basedOn w:val="Reminders"/>
    <w:link w:val="ReminderChar"/>
    <w:uiPriority w:val="99"/>
    <w:rsid w:val="00E16609"/>
  </w:style>
  <w:style w:type="character" w:customStyle="1" w:styleId="RemindersChar">
    <w:name w:val="Reminders Char"/>
    <w:basedOn w:val="DefaultParagraphFont"/>
    <w:link w:val="Reminders"/>
    <w:uiPriority w:val="99"/>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uiPriority w:val="99"/>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E16609"/>
    <w:rPr>
      <w:b/>
      <w:bCs/>
      <w:szCs w:val="3276"/>
    </w:rPr>
  </w:style>
  <w:style w:type="character" w:customStyle="1" w:styleId="CaptionChar">
    <w:name w:val="Caption Char"/>
    <w:basedOn w:val="DefaultParagraphFont"/>
    <w:link w:val="Caption"/>
    <w:uiPriority w:val="99"/>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uiPriority w:val="99"/>
    <w:semiHidden/>
    <w:rsid w:val="00FB70C5"/>
    <w:rPr>
      <w:rFonts w:ascii="Calibri" w:hAnsi="Calibri"/>
      <w:sz w:val="20"/>
      <w:szCs w:val="20"/>
    </w:rPr>
  </w:style>
  <w:style w:type="character" w:customStyle="1" w:styleId="EndnoteTextChar">
    <w:name w:val="Endnote Text Char"/>
    <w:basedOn w:val="DefaultParagraphFont"/>
    <w:link w:val="EndnoteText"/>
    <w:uiPriority w:val="99"/>
    <w:semiHidden/>
    <w:rsid w:val="00FB70C5"/>
    <w:rPr>
      <w:rFonts w:ascii="Calibri" w:eastAsia="Times New Roman" w:hAnsi="Calibri" w:cs="Times New Roman"/>
      <w:sz w:val="20"/>
      <w:szCs w:val="20"/>
    </w:rPr>
  </w:style>
  <w:style w:type="character" w:styleId="EndnoteReference">
    <w:name w:val="endnote reference"/>
    <w:basedOn w:val="DefaultParagraphFont"/>
    <w:uiPriority w:val="99"/>
    <w:semiHidden/>
    <w:rsid w:val="00FB70C5"/>
    <w:rPr>
      <w:rFonts w:cs="Times New Roman"/>
      <w:vertAlign w:val="superscript"/>
    </w:rPr>
  </w:style>
  <w:style w:type="paragraph" w:styleId="ListParagraph">
    <w:name w:val="List Paragraph"/>
    <w:basedOn w:val="Normal"/>
    <w:uiPriority w:val="99"/>
    <w:qFormat/>
    <w:rsid w:val="00CE6394"/>
    <w:pPr>
      <w:ind w:left="720"/>
      <w:contextualSpacing/>
    </w:pPr>
    <w:rPr>
      <w:rFonts w:ascii="Calibri" w:hAnsi="Calibri"/>
      <w:sz w:val="22"/>
    </w:rPr>
  </w:style>
  <w:style w:type="character" w:styleId="PlaceholderText">
    <w:name w:val="Placeholder Text"/>
    <w:basedOn w:val="DefaultParagraphFont"/>
    <w:uiPriority w:val="99"/>
    <w:semiHidden/>
    <w:rsid w:val="009E68D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uiPriority w:val="99"/>
    <w:rsid w:val="00E16609"/>
    <w:pPr>
      <w:spacing w:before="40" w:after="40"/>
    </w:pPr>
    <w:rPr>
      <w:rFonts w:ascii="Trebuchet MS" w:hAnsi="Trebuchet MS"/>
      <w:i/>
      <w:color w:val="FF0000"/>
    </w:rPr>
  </w:style>
  <w:style w:type="paragraph" w:customStyle="1" w:styleId="Reminder">
    <w:name w:val="Reminder"/>
    <w:basedOn w:val="Reminders"/>
    <w:link w:val="ReminderChar"/>
    <w:uiPriority w:val="99"/>
    <w:rsid w:val="00E16609"/>
  </w:style>
  <w:style w:type="character" w:customStyle="1" w:styleId="RemindersChar">
    <w:name w:val="Reminders Char"/>
    <w:basedOn w:val="DefaultParagraphFont"/>
    <w:link w:val="Reminders"/>
    <w:uiPriority w:val="99"/>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uiPriority w:val="99"/>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E16609"/>
    <w:rPr>
      <w:b/>
      <w:bCs/>
      <w:szCs w:val="3276"/>
    </w:rPr>
  </w:style>
  <w:style w:type="character" w:customStyle="1" w:styleId="CaptionChar">
    <w:name w:val="Caption Char"/>
    <w:basedOn w:val="DefaultParagraphFont"/>
    <w:link w:val="Caption"/>
    <w:uiPriority w:val="99"/>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uiPriority w:val="99"/>
    <w:semiHidden/>
    <w:rsid w:val="00FB70C5"/>
    <w:rPr>
      <w:rFonts w:ascii="Calibri" w:hAnsi="Calibri"/>
      <w:sz w:val="20"/>
      <w:szCs w:val="20"/>
    </w:rPr>
  </w:style>
  <w:style w:type="character" w:customStyle="1" w:styleId="EndnoteTextChar">
    <w:name w:val="Endnote Text Char"/>
    <w:basedOn w:val="DefaultParagraphFont"/>
    <w:link w:val="EndnoteText"/>
    <w:uiPriority w:val="99"/>
    <w:semiHidden/>
    <w:rsid w:val="00FB70C5"/>
    <w:rPr>
      <w:rFonts w:ascii="Calibri" w:eastAsia="Times New Roman" w:hAnsi="Calibri" w:cs="Times New Roman"/>
      <w:sz w:val="20"/>
      <w:szCs w:val="20"/>
    </w:rPr>
  </w:style>
  <w:style w:type="character" w:styleId="EndnoteReference">
    <w:name w:val="endnote reference"/>
    <w:basedOn w:val="DefaultParagraphFont"/>
    <w:uiPriority w:val="99"/>
    <w:semiHidden/>
    <w:rsid w:val="00FB70C5"/>
    <w:rPr>
      <w:rFonts w:cs="Times New Roman"/>
      <w:vertAlign w:val="superscript"/>
    </w:rPr>
  </w:style>
  <w:style w:type="paragraph" w:styleId="ListParagraph">
    <w:name w:val="List Paragraph"/>
    <w:basedOn w:val="Normal"/>
    <w:uiPriority w:val="99"/>
    <w:qFormat/>
    <w:rsid w:val="00CE6394"/>
    <w:pPr>
      <w:ind w:left="720"/>
      <w:contextualSpacing/>
    </w:pPr>
    <w:rPr>
      <w:rFonts w:ascii="Calibri" w:hAnsi="Calibri"/>
      <w:sz w:val="22"/>
    </w:rPr>
  </w:style>
  <w:style w:type="character" w:styleId="PlaceholderText">
    <w:name w:val="Placeholder Text"/>
    <w:basedOn w:val="DefaultParagraphFont"/>
    <w:uiPriority w:val="99"/>
    <w:semiHidden/>
    <w:rsid w:val="009E68D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9227873">
      <w:bodyDiv w:val="1"/>
      <w:marLeft w:val="0"/>
      <w:marRight w:val="0"/>
      <w:marTop w:val="0"/>
      <w:marBottom w:val="0"/>
      <w:divBdr>
        <w:top w:val="none" w:sz="0" w:space="0" w:color="auto"/>
        <w:left w:val="none" w:sz="0" w:space="0" w:color="auto"/>
        <w:bottom w:val="none" w:sz="0" w:space="0" w:color="auto"/>
        <w:right w:val="none" w:sz="0" w:space="0" w:color="auto"/>
      </w:divBdr>
    </w:div>
    <w:div w:id="313536011">
      <w:bodyDiv w:val="1"/>
      <w:marLeft w:val="0"/>
      <w:marRight w:val="0"/>
      <w:marTop w:val="0"/>
      <w:marBottom w:val="0"/>
      <w:divBdr>
        <w:top w:val="none" w:sz="0" w:space="0" w:color="auto"/>
        <w:left w:val="none" w:sz="0" w:space="0" w:color="auto"/>
        <w:bottom w:val="none" w:sz="0" w:space="0" w:color="auto"/>
        <w:right w:val="none" w:sz="0" w:space="0" w:color="auto"/>
      </w:divBdr>
    </w:div>
    <w:div w:id="385111030">
      <w:bodyDiv w:val="1"/>
      <w:marLeft w:val="0"/>
      <w:marRight w:val="0"/>
      <w:marTop w:val="0"/>
      <w:marBottom w:val="0"/>
      <w:divBdr>
        <w:top w:val="none" w:sz="0" w:space="0" w:color="auto"/>
        <w:left w:val="none" w:sz="0" w:space="0" w:color="auto"/>
        <w:bottom w:val="none" w:sz="0" w:space="0" w:color="auto"/>
        <w:right w:val="none" w:sz="0" w:space="0" w:color="auto"/>
      </w:divBdr>
    </w:div>
    <w:div w:id="519779609">
      <w:bodyDiv w:val="1"/>
      <w:marLeft w:val="0"/>
      <w:marRight w:val="0"/>
      <w:marTop w:val="0"/>
      <w:marBottom w:val="0"/>
      <w:divBdr>
        <w:top w:val="none" w:sz="0" w:space="0" w:color="auto"/>
        <w:left w:val="none" w:sz="0" w:space="0" w:color="auto"/>
        <w:bottom w:val="none" w:sz="0" w:space="0" w:color="auto"/>
        <w:right w:val="none" w:sz="0" w:space="0" w:color="auto"/>
      </w:divBdr>
    </w:div>
    <w:div w:id="585696988">
      <w:bodyDiv w:val="1"/>
      <w:marLeft w:val="0"/>
      <w:marRight w:val="0"/>
      <w:marTop w:val="0"/>
      <w:marBottom w:val="0"/>
      <w:divBdr>
        <w:top w:val="none" w:sz="0" w:space="0" w:color="auto"/>
        <w:left w:val="none" w:sz="0" w:space="0" w:color="auto"/>
        <w:bottom w:val="none" w:sz="0" w:space="0" w:color="auto"/>
        <w:right w:val="none" w:sz="0" w:space="0" w:color="auto"/>
      </w:divBdr>
    </w:div>
    <w:div w:id="697973182">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68836287">
      <w:bodyDiv w:val="1"/>
      <w:marLeft w:val="0"/>
      <w:marRight w:val="0"/>
      <w:marTop w:val="0"/>
      <w:marBottom w:val="0"/>
      <w:divBdr>
        <w:top w:val="none" w:sz="0" w:space="0" w:color="auto"/>
        <w:left w:val="none" w:sz="0" w:space="0" w:color="auto"/>
        <w:bottom w:val="none" w:sz="0" w:space="0" w:color="auto"/>
        <w:right w:val="none" w:sz="0" w:space="0" w:color="auto"/>
      </w:divBdr>
    </w:div>
    <w:div w:id="973605043">
      <w:bodyDiv w:val="1"/>
      <w:marLeft w:val="0"/>
      <w:marRight w:val="0"/>
      <w:marTop w:val="0"/>
      <w:marBottom w:val="0"/>
      <w:divBdr>
        <w:top w:val="none" w:sz="0" w:space="0" w:color="auto"/>
        <w:left w:val="none" w:sz="0" w:space="0" w:color="auto"/>
        <w:bottom w:val="none" w:sz="0" w:space="0" w:color="auto"/>
        <w:right w:val="none" w:sz="0" w:space="0" w:color="auto"/>
      </w:divBdr>
    </w:div>
    <w:div w:id="101353543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71660007">
      <w:bodyDiv w:val="1"/>
      <w:marLeft w:val="0"/>
      <w:marRight w:val="0"/>
      <w:marTop w:val="0"/>
      <w:marBottom w:val="0"/>
      <w:divBdr>
        <w:top w:val="none" w:sz="0" w:space="0" w:color="auto"/>
        <w:left w:val="none" w:sz="0" w:space="0" w:color="auto"/>
        <w:bottom w:val="none" w:sz="0" w:space="0" w:color="auto"/>
        <w:right w:val="none" w:sz="0" w:space="0" w:color="auto"/>
      </w:divBdr>
    </w:div>
    <w:div w:id="2040274159">
      <w:bodyDiv w:val="1"/>
      <w:marLeft w:val="0"/>
      <w:marRight w:val="0"/>
      <w:marTop w:val="0"/>
      <w:marBottom w:val="0"/>
      <w:divBdr>
        <w:top w:val="none" w:sz="0" w:space="0" w:color="auto"/>
        <w:left w:val="none" w:sz="0" w:space="0" w:color="auto"/>
        <w:bottom w:val="none" w:sz="0" w:space="0" w:color="auto"/>
        <w:right w:val="none" w:sz="0" w:space="0" w:color="auto"/>
      </w:divBdr>
    </w:div>
    <w:div w:id="211347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Excel_Worksheet2.xlsx"/><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oleObject" Target="embeddings/oleObject1.bin"/><Relationship Id="rId25" Type="http://schemas.openxmlformats.org/officeDocument/2006/relationships/package" Target="embeddings/Microsoft_Word_Document3.docx"/><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emf"/><Relationship Id="rId29" Type="http://schemas.openxmlformats.org/officeDocument/2006/relationships/package" Target="embeddings/Microsoft_Excel_Worksheet4.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deeresources.com" TargetMode="External"/><Relationship Id="rId23" Type="http://schemas.openxmlformats.org/officeDocument/2006/relationships/oleObject" Target="embeddings/oleObject2.bin"/><Relationship Id="rId28" Type="http://schemas.openxmlformats.org/officeDocument/2006/relationships/image" Target="media/image11.emf"/><Relationship Id="rId10" Type="http://schemas.openxmlformats.org/officeDocument/2006/relationships/footer" Target="footer2.xml"/><Relationship Id="rId19" Type="http://schemas.openxmlformats.org/officeDocument/2006/relationships/package" Target="embeddings/Microsoft_Excel_Macro-Enabled_Worksheet1.xlsm"/><Relationship Id="rId31" Type="http://schemas.openxmlformats.org/officeDocument/2006/relationships/package" Target="embeddings/Microsoft_Excel_Worksheet5.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89C301-700E-4D60-B110-B41AB85F0D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14</Pages>
  <Words>2702</Words>
  <Characters>15403</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18069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Alfredo Gutierrez</cp:lastModifiedBy>
  <cp:revision>7</cp:revision>
  <dcterms:created xsi:type="dcterms:W3CDTF">2014-05-14T20:36:00Z</dcterms:created>
  <dcterms:modified xsi:type="dcterms:W3CDTF">2014-05-28T15:22:00Z</dcterms:modified>
</cp:coreProperties>
</file>